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02" w:rsidRPr="000D6864" w:rsidRDefault="00D56A02" w:rsidP="00CC3C0C">
      <w:pPr>
        <w:pStyle w:val="Nzov"/>
        <w:spacing w:before="240" w:after="240"/>
        <w:rPr>
          <w:u w:val="single"/>
        </w:rPr>
      </w:pPr>
      <w:r w:rsidRPr="000D6864">
        <w:rPr>
          <w:u w:val="single"/>
        </w:rPr>
        <w:t xml:space="preserve">POSÚDENIE VÝVOJA ZADLŽENOSTI </w:t>
      </w:r>
      <w:r w:rsidR="00361537">
        <w:rPr>
          <w:u w:val="single"/>
        </w:rPr>
        <w:t>– JANUÁR 2011</w:t>
      </w:r>
    </w:p>
    <w:p w:rsidR="00240EE0" w:rsidRDefault="002635C5" w:rsidP="00533446">
      <w:pPr>
        <w:spacing w:before="240"/>
        <w:ind w:firstLine="426"/>
        <w:jc w:val="both"/>
      </w:pPr>
      <w:r>
        <w:t>V súlade so znením</w:t>
      </w:r>
      <w:r w:rsidR="009245CB">
        <w:t xml:space="preserve"> § 17 ods. 9 zákona č. 583/2004 Z. z. o rozpočtových pravidlách územnej samosprávy ako hlavný kontrolór </w:t>
      </w:r>
      <w:r w:rsidR="00512F0A">
        <w:t>m</w:t>
      </w:r>
      <w:r w:rsidR="0011400E">
        <w:t>esta</w:t>
      </w:r>
      <w:r w:rsidR="009245CB">
        <w:t xml:space="preserve"> </w:t>
      </w:r>
      <w:r w:rsidR="00B740CC">
        <w:t>preverujem</w:t>
      </w:r>
      <w:r w:rsidR="009245CB">
        <w:t xml:space="preserve"> dodržiavanie podmienok na prijatie </w:t>
      </w:r>
      <w:r w:rsidR="0079475E">
        <w:t>návratných zdrojov financovania</w:t>
      </w:r>
      <w:r w:rsidR="009245CB">
        <w:t xml:space="preserve"> a</w:t>
      </w:r>
      <w:r w:rsidR="00B740CC">
        <w:t xml:space="preserve"> to z dôvodu, že </w:t>
      </w:r>
      <w:r w:rsidR="00512F0A">
        <w:t>M</w:t>
      </w:r>
      <w:r w:rsidR="00B740CC">
        <w:t>esto Košice môže prijať úver</w:t>
      </w:r>
      <w:r w:rsidR="00215208">
        <w:t>y</w:t>
      </w:r>
      <w:r w:rsidR="00B740CC">
        <w:t xml:space="preserve"> za splneni</w:t>
      </w:r>
      <w:r w:rsidR="0011400E">
        <w:t>a</w:t>
      </w:r>
      <w:r w:rsidR="00B740CC">
        <w:t xml:space="preserve"> týchto podmienok:</w:t>
      </w:r>
    </w:p>
    <w:p w:rsidR="00215208" w:rsidRDefault="00215208" w:rsidP="001A5B80">
      <w:pPr>
        <w:pStyle w:val="Odsekzoznamu"/>
        <w:numPr>
          <w:ilvl w:val="0"/>
          <w:numId w:val="9"/>
        </w:numPr>
        <w:spacing w:before="120"/>
        <w:jc w:val="both"/>
      </w:pPr>
      <w:r>
        <w:t>celková suma dlhu územnej samosprávy ku koncu rozpočtového roka neprekročí 60% skutočných bežných príjmov predchádzajúceho rozpočtového roka a</w:t>
      </w:r>
    </w:p>
    <w:p w:rsidR="00215208" w:rsidRDefault="00215208" w:rsidP="00B25587">
      <w:pPr>
        <w:pStyle w:val="Odsekzoznamu"/>
        <w:numPr>
          <w:ilvl w:val="0"/>
          <w:numId w:val="9"/>
        </w:numPr>
        <w:jc w:val="both"/>
      </w:pPr>
      <w:r>
        <w:t>suma ročných splátok návratných zdrojov financovania vrátane úrokov neprekročí 25% skutočne bežných príjmov predchádzajúceho rozpočtového roka.</w:t>
      </w:r>
    </w:p>
    <w:p w:rsidR="003140F4" w:rsidRDefault="00AE0087" w:rsidP="00533446">
      <w:pPr>
        <w:spacing w:before="240"/>
        <w:ind w:firstLine="426"/>
        <w:jc w:val="both"/>
      </w:pPr>
      <w:r>
        <w:t xml:space="preserve">Do celkovej sumy dlhu </w:t>
      </w:r>
      <w:r w:rsidR="00512F0A">
        <w:t>m</w:t>
      </w:r>
      <w:r w:rsidR="0011400E">
        <w:t>esta</w:t>
      </w:r>
      <w:r w:rsidR="00361537">
        <w:t xml:space="preserve"> nie sú</w:t>
      </w:r>
      <w:r>
        <w:t> </w:t>
      </w:r>
      <w:r w:rsidR="00361537">
        <w:t>započítané</w:t>
      </w:r>
      <w:r w:rsidR="000C7E92">
        <w:t xml:space="preserve"> dlh</w:t>
      </w:r>
      <w:r w:rsidR="00361537">
        <w:t>y</w:t>
      </w:r>
      <w:r w:rsidR="000C7E92">
        <w:t xml:space="preserve"> z prijatia návratných zdrojov </w:t>
      </w:r>
      <w:r w:rsidR="001B358D">
        <w:t>financovania</w:t>
      </w:r>
      <w:r w:rsidR="000C7E92">
        <w:t xml:space="preserve"> z</w:t>
      </w:r>
      <w:r w:rsidR="00FF7E60">
        <w:t> vládnych podporných programov, Euro fondov</w:t>
      </w:r>
      <w:r w:rsidR="00BB2493">
        <w:t xml:space="preserve">. </w:t>
      </w:r>
      <w:r w:rsidR="00655252">
        <w:t>Na zá</w:t>
      </w:r>
      <w:r w:rsidR="00B86822">
        <w:t>klade získaných informácií, že M</w:t>
      </w:r>
      <w:r w:rsidR="00655252">
        <w:t>esto Košice žiada poskytnutie úveru na krátkodobé financova</w:t>
      </w:r>
      <w:r w:rsidR="00B86822">
        <w:t xml:space="preserve">nie prevádzkových potrieb mesta </w:t>
      </w:r>
      <w:r w:rsidR="00655252">
        <w:t>v roku 2011 v objeme 2 500</w:t>
      </w:r>
      <w:r w:rsidR="00C22D9A">
        <w:t> </w:t>
      </w:r>
      <w:r w:rsidR="00655252">
        <w:t>000€</w:t>
      </w:r>
      <w:r w:rsidR="00EF3A66">
        <w:t xml:space="preserve">, </w:t>
      </w:r>
      <w:r w:rsidR="00655252">
        <w:t xml:space="preserve">vydávam stanovisko v súlade zo zákonom o rozpočtových pravidlách. Mesto Košice môže požiadať na vyrovnanie časového nesúladu medzi príjmami a výdavkami bežného rozpočtu v priebehu rozpočtového roka </w:t>
      </w:r>
      <w:r w:rsidR="00AC7CF0">
        <w:t>o návratné</w:t>
      </w:r>
      <w:r w:rsidR="00655252">
        <w:t xml:space="preserve"> zdroje financovania. Tieto zdroje financovania</w:t>
      </w:r>
      <w:r w:rsidR="00C22D9A">
        <w:t xml:space="preserve"> sa</w:t>
      </w:r>
      <w:r w:rsidR="00655252">
        <w:t xml:space="preserve"> môžu výnimočne použiť za podmienky, že budú splatené do konca </w:t>
      </w:r>
      <w:r w:rsidR="00C22D9A">
        <w:t>rozpočtového roka z príjmov bežného rozpočtu.</w:t>
      </w:r>
    </w:p>
    <w:p w:rsidR="00C33A81" w:rsidRDefault="00C33A81" w:rsidP="00C33A81">
      <w:pPr>
        <w:jc w:val="both"/>
      </w:pPr>
    </w:p>
    <w:p w:rsidR="008F6CAD" w:rsidRPr="00142AF0" w:rsidRDefault="00E532FC" w:rsidP="00EF3A66">
      <w:pPr>
        <w:pStyle w:val="Nadpis1"/>
        <w:spacing w:after="240"/>
      </w:pPr>
      <w:r>
        <w:t>Čistý</w:t>
      </w:r>
      <w:r w:rsidR="00022BEF" w:rsidRPr="00142AF0">
        <w:t xml:space="preserve"> dlh</w:t>
      </w:r>
      <w:r w:rsidR="00AE0087" w:rsidRPr="00142AF0">
        <w:t xml:space="preserve"> a splátková rezerva</w:t>
      </w:r>
      <w:r w:rsidR="00C22D9A">
        <w:t xml:space="preserve"> </w:t>
      </w:r>
      <w:r w:rsidR="005E0745">
        <w:t>(január 2011)</w:t>
      </w:r>
      <w:r w:rsidR="001B358D" w:rsidRPr="0011400E">
        <w:rPr>
          <w:rStyle w:val="Odkaznapoznmkupodiarou"/>
        </w:rPr>
        <w:footnoteReference w:id="1"/>
      </w:r>
    </w:p>
    <w:p w:rsidR="00187D8B" w:rsidRDefault="00C22D9A" w:rsidP="00422E5B">
      <w:pPr>
        <w:pStyle w:val="Odsekzoznamu"/>
        <w:numPr>
          <w:ilvl w:val="0"/>
          <w:numId w:val="13"/>
        </w:numPr>
        <w:spacing w:line="360" w:lineRule="auto"/>
        <w:ind w:left="720"/>
        <w:jc w:val="both"/>
      </w:pPr>
      <w:r>
        <w:t>predpokladaný u</w:t>
      </w:r>
      <w:r w:rsidR="008F6CAD">
        <w:t xml:space="preserve">kazovateľ </w:t>
      </w:r>
      <w:r>
        <w:t xml:space="preserve">celkového dlhu mesta je </w:t>
      </w:r>
      <w:r w:rsidR="00937C37" w:rsidRPr="00FE1F84">
        <w:rPr>
          <w:b/>
        </w:rPr>
        <w:t>41,12</w:t>
      </w:r>
      <w:r w:rsidR="000E1A43" w:rsidRPr="00FE1F84">
        <w:rPr>
          <w:b/>
        </w:rPr>
        <w:t xml:space="preserve"> </w:t>
      </w:r>
      <w:r w:rsidR="000E1A43">
        <w:t>%</w:t>
      </w:r>
      <w:r w:rsidR="00022BEF">
        <w:t xml:space="preserve">. </w:t>
      </w:r>
    </w:p>
    <w:p w:rsidR="006E34CC" w:rsidRDefault="00C22D9A" w:rsidP="00422E5B">
      <w:pPr>
        <w:pStyle w:val="Odsekzoznamu"/>
        <w:numPr>
          <w:ilvl w:val="0"/>
          <w:numId w:val="13"/>
        </w:numPr>
        <w:spacing w:line="360" w:lineRule="auto"/>
        <w:ind w:left="720"/>
        <w:jc w:val="both"/>
      </w:pPr>
      <w:r>
        <w:t>predpokladaná ú</w:t>
      </w:r>
      <w:r w:rsidR="00C33A81">
        <w:t xml:space="preserve">verová rezerva </w:t>
      </w:r>
      <w:r w:rsidR="004468B0">
        <w:t xml:space="preserve">predstavuje </w:t>
      </w:r>
      <w:r w:rsidR="0051384A">
        <w:t>sumu</w:t>
      </w:r>
      <w:r w:rsidR="00937C37">
        <w:t xml:space="preserve"> </w:t>
      </w:r>
      <w:r w:rsidR="00937C37" w:rsidRPr="00FE1F84">
        <w:rPr>
          <w:b/>
        </w:rPr>
        <w:t>20 819 038</w:t>
      </w:r>
      <w:r w:rsidR="0051384A">
        <w:t xml:space="preserve"> </w:t>
      </w:r>
      <w:r w:rsidR="00A35BB3">
        <w:t>€</w:t>
      </w:r>
      <w:r w:rsidR="006E34CC">
        <w:t>.</w:t>
      </w:r>
    </w:p>
    <w:p w:rsidR="004E48D6" w:rsidRDefault="00C22D9A" w:rsidP="00422E5B">
      <w:pPr>
        <w:pStyle w:val="Odsekzoznamu"/>
        <w:numPr>
          <w:ilvl w:val="0"/>
          <w:numId w:val="13"/>
        </w:numPr>
        <w:spacing w:line="360" w:lineRule="auto"/>
        <w:ind w:left="720"/>
        <w:jc w:val="both"/>
      </w:pPr>
      <w:r>
        <w:t>predpokladaný u</w:t>
      </w:r>
      <w:r w:rsidR="0051384A">
        <w:t xml:space="preserve">kazovateľ splátkovej rezervy </w:t>
      </w:r>
      <w:r>
        <w:t>je</w:t>
      </w:r>
      <w:r w:rsidR="00937C37">
        <w:t xml:space="preserve"> </w:t>
      </w:r>
      <w:r w:rsidR="00937C37" w:rsidRPr="00FE1F84">
        <w:rPr>
          <w:b/>
        </w:rPr>
        <w:t>7,83</w:t>
      </w:r>
      <w:r w:rsidRPr="00FE1F84">
        <w:rPr>
          <w:b/>
        </w:rPr>
        <w:t xml:space="preserve"> </w:t>
      </w:r>
      <w:r w:rsidR="004E48D6">
        <w:t>%.</w:t>
      </w:r>
    </w:p>
    <w:p w:rsidR="0011400E" w:rsidRPr="00D55455" w:rsidRDefault="00C22D9A" w:rsidP="00422E5B">
      <w:pPr>
        <w:pStyle w:val="Odsekzoznamu"/>
        <w:numPr>
          <w:ilvl w:val="0"/>
          <w:numId w:val="13"/>
        </w:numPr>
        <w:spacing w:line="360" w:lineRule="auto"/>
        <w:ind w:left="720"/>
        <w:jc w:val="both"/>
        <w:rPr>
          <w:i/>
        </w:rPr>
      </w:pPr>
      <w:r>
        <w:t>predpokladaná s</w:t>
      </w:r>
      <w:r w:rsidR="00C33A81">
        <w:t xml:space="preserve">plátková rezerva </w:t>
      </w:r>
      <w:r w:rsidR="0051384A">
        <w:t>predstavuje sumu</w:t>
      </w:r>
      <w:r w:rsidR="00937C37">
        <w:t xml:space="preserve"> </w:t>
      </w:r>
      <w:r w:rsidR="00FE1F84" w:rsidRPr="00FE1F84">
        <w:rPr>
          <w:b/>
        </w:rPr>
        <w:t>18 935 914</w:t>
      </w:r>
      <w:r w:rsidR="00FE1F84">
        <w:t xml:space="preserve"> </w:t>
      </w:r>
      <w:r w:rsidR="000E1A43">
        <w:t>€</w:t>
      </w:r>
      <w:r w:rsidR="0051384A">
        <w:t>.</w:t>
      </w:r>
    </w:p>
    <w:p w:rsidR="008F6CAD" w:rsidRPr="0011400E" w:rsidRDefault="00E0748A" w:rsidP="00361537">
      <w:pPr>
        <w:pStyle w:val="Odsekzoznamu"/>
        <w:numPr>
          <w:ilvl w:val="0"/>
          <w:numId w:val="14"/>
        </w:numPr>
        <w:spacing w:before="240" w:line="276" w:lineRule="auto"/>
        <w:ind w:left="709" w:hanging="283"/>
        <w:jc w:val="both"/>
        <w:rPr>
          <w:i/>
        </w:rPr>
      </w:pPr>
      <w:r w:rsidRPr="0011400E">
        <w:rPr>
          <w:i/>
        </w:rPr>
        <w:t xml:space="preserve">Výpočet </w:t>
      </w:r>
      <w:r w:rsidR="00142AF0" w:rsidRPr="0011400E">
        <w:rPr>
          <w:i/>
        </w:rPr>
        <w:t xml:space="preserve">ukazovateľa </w:t>
      </w:r>
      <w:r w:rsidR="00E532FC" w:rsidRPr="0011400E">
        <w:rPr>
          <w:i/>
        </w:rPr>
        <w:t>čistého</w:t>
      </w:r>
      <w:r w:rsidR="00284EB5">
        <w:rPr>
          <w:i/>
        </w:rPr>
        <w:t xml:space="preserve"> dlhu</w:t>
      </w:r>
      <w:r w:rsidR="00C22D9A">
        <w:rPr>
          <w:i/>
        </w:rPr>
        <w:t xml:space="preserve"> </w:t>
      </w:r>
    </w:p>
    <w:p w:rsidR="001B358D" w:rsidRPr="00142AF0" w:rsidRDefault="00BC44CC" w:rsidP="001D2B68">
      <w:pPr>
        <w:pStyle w:val="Odsekzoznamu"/>
        <w:numPr>
          <w:ilvl w:val="0"/>
          <w:numId w:val="11"/>
        </w:numPr>
        <w:tabs>
          <w:tab w:val="left" w:pos="5245"/>
        </w:tabs>
        <w:ind w:left="1069" w:right="-1"/>
        <w:jc w:val="both"/>
      </w:pPr>
      <w:r w:rsidRPr="00142AF0">
        <w:t>bežné príjmy k 31.12.20</w:t>
      </w:r>
      <w:r w:rsidR="00C22D9A">
        <w:t>1</w:t>
      </w:r>
      <w:r w:rsidR="00FE1F84">
        <w:t>0</w:t>
      </w:r>
      <w:r w:rsidR="004468B0">
        <w:rPr>
          <w:rStyle w:val="Odkaznapoznmkupodiarou"/>
        </w:rPr>
        <w:footnoteReference w:id="2"/>
      </w:r>
      <w:r w:rsidR="00C22D9A">
        <w:t xml:space="preserve"> (odhad)</w:t>
      </w:r>
      <w:r w:rsidR="00F22751">
        <w:tab/>
      </w:r>
      <w:r w:rsidR="00F22751">
        <w:tab/>
      </w:r>
      <w:r w:rsidR="00FE1F84">
        <w:tab/>
      </w:r>
      <w:r w:rsidR="00FE1F84">
        <w:tab/>
      </w:r>
      <w:r w:rsidR="00FE1F84">
        <w:tab/>
      </w:r>
      <w:r w:rsidR="00F22751">
        <w:t xml:space="preserve">   </w:t>
      </w:r>
      <w:r w:rsidR="000D2D7D">
        <w:t xml:space="preserve">110 296 455 </w:t>
      </w:r>
      <w:r w:rsidRPr="00142AF0">
        <w:t>€</w:t>
      </w:r>
    </w:p>
    <w:p w:rsidR="00275505" w:rsidRDefault="00FE1F84" w:rsidP="00422E5B">
      <w:pPr>
        <w:pStyle w:val="Odsekzoznamu"/>
        <w:numPr>
          <w:ilvl w:val="0"/>
          <w:numId w:val="11"/>
        </w:numPr>
        <w:pBdr>
          <w:bottom w:val="single" w:sz="4" w:space="1" w:color="auto"/>
        </w:pBdr>
        <w:tabs>
          <w:tab w:val="left" w:pos="8080"/>
        </w:tabs>
        <w:ind w:left="1069"/>
        <w:jc w:val="both"/>
      </w:pPr>
      <w:r>
        <w:t xml:space="preserve">predpokladaná zadlženosť pre rok </w:t>
      </w:r>
      <w:r w:rsidR="00C22D9A">
        <w:t>2011</w:t>
      </w:r>
      <w:r w:rsidR="00D55455" w:rsidRPr="00422E5B">
        <w:tab/>
      </w:r>
      <w:r w:rsidR="000D2D7D">
        <w:t xml:space="preserve"> 42 858 835 </w:t>
      </w:r>
      <w:r w:rsidR="00187D8B" w:rsidRPr="00422E5B">
        <w:t>€</w:t>
      </w:r>
    </w:p>
    <w:p w:rsidR="00C22D9A" w:rsidRPr="00422E5B" w:rsidRDefault="00C22D9A" w:rsidP="00C22D9A">
      <w:pPr>
        <w:pStyle w:val="Odsekzoznamu"/>
        <w:numPr>
          <w:ilvl w:val="0"/>
          <w:numId w:val="11"/>
        </w:numPr>
        <w:pBdr>
          <w:bottom w:val="single" w:sz="4" w:space="1" w:color="auto"/>
        </w:pBdr>
        <w:tabs>
          <w:tab w:val="left" w:pos="8080"/>
        </w:tabs>
        <w:ind w:left="1069"/>
        <w:jc w:val="both"/>
      </w:pPr>
      <w:r>
        <w:t>prijatý úver na krytie bežných prevádzkových potrieb</w:t>
      </w:r>
      <w:r w:rsidR="00AC7CF0">
        <w:t xml:space="preserve"> (január 2011</w:t>
      </w:r>
      <w:r w:rsidR="00FE1F84">
        <w:t>)</w:t>
      </w:r>
      <w:r w:rsidR="000D2D7D">
        <w:tab/>
        <w:t xml:space="preserve">   2 500 000 €</w:t>
      </w:r>
    </w:p>
    <w:p w:rsidR="000838AC" w:rsidRDefault="002F5799" w:rsidP="000838AC">
      <w:pPr>
        <w:spacing w:before="360"/>
        <w:ind w:left="1134" w:hanging="425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5.75pt">
            <v:imagedata r:id="rId8" o:title=""/>
          </v:shape>
        </w:pict>
      </w:r>
    </w:p>
    <w:p w:rsidR="00187D8B" w:rsidRDefault="00361537" w:rsidP="00CC3C0C">
      <w:pPr>
        <w:spacing w:before="360"/>
        <w:ind w:left="1134"/>
        <w:jc w:val="both"/>
      </w:pPr>
      <w:r>
        <w:object w:dxaOrig="3444" w:dyaOrig="600">
          <v:shape id="_x0000_i1026" type="#_x0000_t75" style="width:151.5pt;height:30pt" o:ole="">
            <v:imagedata r:id="rId9" o:title=""/>
          </v:shape>
          <o:OLEObject Type="Embed" ProgID="Excel.Sheet.12" ShapeID="_x0000_i1026" DrawAspect="Content" ObjectID="_1355898973" r:id="rId10"/>
        </w:object>
      </w:r>
    </w:p>
    <w:p w:rsidR="008C4CA7" w:rsidRDefault="008C4CA7" w:rsidP="00CC3C0C">
      <w:pPr>
        <w:spacing w:before="360"/>
        <w:ind w:left="1134"/>
        <w:jc w:val="both"/>
      </w:pPr>
      <w:r>
        <w:t>66 177 873 – 45 358 835 = 20 819 038 € (predpokladaná úverová rezerva)</w:t>
      </w:r>
    </w:p>
    <w:p w:rsidR="000838AC" w:rsidRDefault="00361537" w:rsidP="00CC3C0C">
      <w:pPr>
        <w:spacing w:before="240" w:after="600"/>
        <w:ind w:left="1134"/>
        <w:jc w:val="both"/>
      </w:pPr>
      <w:r>
        <w:t xml:space="preserve"> </w:t>
      </w:r>
    </w:p>
    <w:p w:rsidR="00142AF0" w:rsidRDefault="00142AF0" w:rsidP="00167E9D">
      <w:pPr>
        <w:pStyle w:val="Odsekzoznamu"/>
        <w:numPr>
          <w:ilvl w:val="0"/>
          <w:numId w:val="14"/>
        </w:numPr>
        <w:ind w:left="709" w:hanging="283"/>
        <w:jc w:val="both"/>
        <w:rPr>
          <w:i/>
        </w:rPr>
      </w:pPr>
      <w:r w:rsidRPr="001A5B80">
        <w:rPr>
          <w:i/>
        </w:rPr>
        <w:lastRenderedPageBreak/>
        <w:t>Vý</w:t>
      </w:r>
      <w:r w:rsidR="00284EB5">
        <w:rPr>
          <w:i/>
        </w:rPr>
        <w:t xml:space="preserve">počet splátkovej rezervy </w:t>
      </w:r>
      <w:r w:rsidR="00FF7E60" w:rsidRPr="001A5B80">
        <w:rPr>
          <w:i/>
        </w:rPr>
        <w:t>(</w:t>
      </w:r>
      <w:r w:rsidR="000838AC">
        <w:rPr>
          <w:i/>
        </w:rPr>
        <w:t xml:space="preserve">odhad </w:t>
      </w:r>
      <w:r w:rsidR="00FF7E60" w:rsidRPr="001A5B80">
        <w:rPr>
          <w:i/>
        </w:rPr>
        <w:t>istina + odhad úrokov)</w:t>
      </w:r>
      <w:r w:rsidRPr="001A5B80">
        <w:rPr>
          <w:i/>
        </w:rPr>
        <w:t>:</w:t>
      </w:r>
    </w:p>
    <w:p w:rsidR="004468B0" w:rsidRDefault="00FE1F84" w:rsidP="005E0745">
      <w:pPr>
        <w:pStyle w:val="Odsekzoznamu"/>
        <w:numPr>
          <w:ilvl w:val="0"/>
          <w:numId w:val="11"/>
        </w:numPr>
        <w:tabs>
          <w:tab w:val="left" w:pos="5245"/>
        </w:tabs>
        <w:spacing w:before="240" w:line="240" w:lineRule="exact"/>
        <w:ind w:left="1066" w:hanging="357"/>
        <w:jc w:val="both"/>
      </w:pPr>
      <w:r>
        <w:t>predpokladané splátky istín</w:t>
      </w:r>
      <w:r w:rsidR="004468B0">
        <w:tab/>
      </w:r>
      <w:r w:rsidR="004468B0">
        <w:tab/>
      </w:r>
      <w:r w:rsidR="004468B0" w:rsidRPr="004468B0">
        <w:tab/>
      </w:r>
      <w:r w:rsidR="004468B0" w:rsidRPr="004468B0">
        <w:tab/>
      </w:r>
      <w:r w:rsidR="00C963BA">
        <w:t xml:space="preserve">   </w:t>
      </w:r>
      <w:r w:rsidR="004468B0" w:rsidRPr="004468B0">
        <w:tab/>
      </w:r>
      <w:r w:rsidR="00B97F4E">
        <w:t xml:space="preserve">  </w:t>
      </w:r>
      <w:r w:rsidR="00C963BA">
        <w:t xml:space="preserve"> </w:t>
      </w:r>
      <w:r w:rsidR="00B97F4E">
        <w:t xml:space="preserve">  </w:t>
      </w:r>
      <w:r w:rsidR="000838AC">
        <w:t xml:space="preserve"> 5 658 </w:t>
      </w:r>
      <w:r w:rsidR="00937C37">
        <w:t>200</w:t>
      </w:r>
      <w:r w:rsidR="000838AC">
        <w:t xml:space="preserve"> </w:t>
      </w:r>
      <w:r w:rsidR="004468B0" w:rsidRPr="004468B0">
        <w:t>€</w:t>
      </w:r>
    </w:p>
    <w:p w:rsidR="000838AC" w:rsidRPr="004468B0" w:rsidRDefault="000838AC" w:rsidP="005E0745">
      <w:pPr>
        <w:pStyle w:val="Odsekzoznamu"/>
        <w:numPr>
          <w:ilvl w:val="0"/>
          <w:numId w:val="11"/>
        </w:numPr>
        <w:tabs>
          <w:tab w:val="left" w:pos="5245"/>
        </w:tabs>
        <w:spacing w:before="120" w:line="240" w:lineRule="exact"/>
        <w:ind w:left="1066" w:hanging="357"/>
        <w:jc w:val="both"/>
      </w:pPr>
      <w:r>
        <w:t>splátka na krátkodobý úver</w:t>
      </w:r>
      <w:r>
        <w:tab/>
      </w:r>
      <w:r>
        <w:tab/>
      </w:r>
      <w:r>
        <w:tab/>
      </w:r>
      <w:r>
        <w:tab/>
      </w:r>
      <w:r>
        <w:tab/>
        <w:t xml:space="preserve">      2 500 000 €</w:t>
      </w:r>
    </w:p>
    <w:p w:rsidR="000838AC" w:rsidRDefault="004468B0" w:rsidP="00FE1F84">
      <w:pPr>
        <w:pStyle w:val="Odsekzoznamu"/>
        <w:numPr>
          <w:ilvl w:val="0"/>
          <w:numId w:val="11"/>
        </w:numPr>
        <w:pBdr>
          <w:bottom w:val="single" w:sz="4" w:space="1" w:color="auto"/>
        </w:pBdr>
        <w:tabs>
          <w:tab w:val="left" w:pos="8080"/>
        </w:tabs>
        <w:spacing w:before="120" w:after="120" w:line="240" w:lineRule="exact"/>
        <w:ind w:left="1066" w:hanging="357"/>
        <w:jc w:val="both"/>
      </w:pPr>
      <w:r w:rsidRPr="004468B0">
        <w:t>splát</w:t>
      </w:r>
      <w:r w:rsidR="00FE1F84">
        <w:t>ky</w:t>
      </w:r>
      <w:r>
        <w:t xml:space="preserve"> úrokov</w:t>
      </w:r>
      <w:r>
        <w:tab/>
      </w:r>
      <w:r w:rsidR="00B97F4E">
        <w:t xml:space="preserve">     </w:t>
      </w:r>
      <w:r w:rsidR="000838AC">
        <w:t>480</w:t>
      </w:r>
      <w:r w:rsidR="00D55455">
        <w:t xml:space="preserve"> </w:t>
      </w:r>
      <w:r w:rsidR="000838AC">
        <w:t>000</w:t>
      </w:r>
      <w:r w:rsidRPr="004468B0">
        <w:t xml:space="preserve"> €</w:t>
      </w:r>
    </w:p>
    <w:p w:rsidR="000838AC" w:rsidRDefault="008C4CA7" w:rsidP="00575386">
      <w:pPr>
        <w:pStyle w:val="Odsekzoznamu"/>
        <w:tabs>
          <w:tab w:val="left" w:pos="8080"/>
        </w:tabs>
        <w:ind w:left="1069" w:hanging="502"/>
        <w:jc w:val="both"/>
      </w:pPr>
      <w:r>
        <w:object w:dxaOrig="6477" w:dyaOrig="310">
          <v:shape id="_x0000_i1027" type="#_x0000_t75" style="width:303.75pt;height:15.75pt" o:ole="">
            <v:imagedata r:id="rId11" o:title=""/>
          </v:shape>
          <o:OLEObject Type="Embed" ProgID="Excel.Sheet.12" ShapeID="_x0000_i1027" DrawAspect="Content" ObjectID="_1355898974" r:id="rId12"/>
        </w:object>
      </w:r>
    </w:p>
    <w:p w:rsidR="00361537" w:rsidRDefault="00937C37" w:rsidP="005E0745">
      <w:pPr>
        <w:pStyle w:val="Odsekzoznamu"/>
        <w:tabs>
          <w:tab w:val="left" w:pos="8080"/>
        </w:tabs>
        <w:spacing w:before="120" w:after="360"/>
        <w:ind w:left="1069"/>
        <w:jc w:val="both"/>
      </w:pPr>
      <w:r>
        <w:object w:dxaOrig="4107" w:dyaOrig="600">
          <v:shape id="_x0000_i1028" type="#_x0000_t75" style="width:205.5pt;height:30pt" o:ole="">
            <v:imagedata r:id="rId13" o:title=""/>
          </v:shape>
          <o:OLEObject Type="Embed" ProgID="Excel.Sheet.12" ShapeID="_x0000_i1028" DrawAspect="Content" ObjectID="_1355898975" r:id="rId14"/>
        </w:object>
      </w:r>
    </w:p>
    <w:p w:rsidR="00361537" w:rsidRDefault="008C4CA7" w:rsidP="00361537">
      <w:pPr>
        <w:pStyle w:val="Odsekzoznamu"/>
        <w:tabs>
          <w:tab w:val="left" w:pos="8080"/>
        </w:tabs>
        <w:spacing w:before="120" w:after="360"/>
        <w:ind w:left="1069" w:hanging="218"/>
        <w:jc w:val="both"/>
      </w:pPr>
      <w:r w:rsidRPr="008C4CA7">
        <w:rPr>
          <w:sz w:val="20"/>
          <w:szCs w:val="20"/>
        </w:rPr>
        <w:object w:dxaOrig="7389" w:dyaOrig="264">
          <v:shape id="_x0000_i1029" type="#_x0000_t75" style="width:431.25pt;height:18.75pt" o:ole="">
            <v:imagedata r:id="rId15" o:title=""/>
          </v:shape>
          <o:OLEObject Type="Embed" ProgID="Excel.Sheet.12" ShapeID="_x0000_i1029" DrawAspect="Content" ObjectID="_1355898976" r:id="rId16"/>
        </w:object>
      </w:r>
    </w:p>
    <w:p w:rsidR="003A3F86" w:rsidRPr="0017333C" w:rsidRDefault="0017333C" w:rsidP="00937C37">
      <w:pPr>
        <w:pStyle w:val="Nadpis1"/>
        <w:spacing w:before="240"/>
      </w:pPr>
      <w:r w:rsidRPr="0017333C">
        <w:t>Skryté riziká</w:t>
      </w:r>
      <w:r w:rsidR="0011400E">
        <w:t>,</w:t>
      </w:r>
      <w:r w:rsidRPr="0017333C">
        <w:t xml:space="preserve"> </w:t>
      </w:r>
      <w:r>
        <w:t xml:space="preserve">ktoré môžu ovplyvniť dlhový profil </w:t>
      </w:r>
      <w:r w:rsidR="0011400E">
        <w:t>Mesta</w:t>
      </w:r>
      <w:r w:rsidR="001D19FA">
        <w:t xml:space="preserve"> Košice</w:t>
      </w:r>
    </w:p>
    <w:p w:rsidR="00A95522" w:rsidRDefault="00FE1F84" w:rsidP="00E97D7D">
      <w:pPr>
        <w:spacing w:before="240"/>
        <w:ind w:firstLine="360"/>
        <w:jc w:val="both"/>
      </w:pPr>
      <w:r>
        <w:t>Chcem poukázať na</w:t>
      </w:r>
      <w:r w:rsidR="0017333C">
        <w:t xml:space="preserve"> určité riziká, ktoré priamo alebo nepriamo môžu </w:t>
      </w:r>
      <w:r w:rsidR="00A95522">
        <w:t xml:space="preserve">negatívne </w:t>
      </w:r>
      <w:r w:rsidR="0017333C">
        <w:t xml:space="preserve">ovplyvniť dlh </w:t>
      </w:r>
      <w:r w:rsidR="0011400E">
        <w:t>Mesta</w:t>
      </w:r>
      <w:r w:rsidR="00E532FC">
        <w:t xml:space="preserve"> Košice. Ide o tieto riziká</w:t>
      </w:r>
      <w:r w:rsidR="0017333C">
        <w:t xml:space="preserve">: </w:t>
      </w:r>
    </w:p>
    <w:p w:rsidR="00A95522" w:rsidRPr="00A95522" w:rsidRDefault="00A95522" w:rsidP="00EF3A66">
      <w:pPr>
        <w:pStyle w:val="Nadpis2"/>
        <w:spacing w:after="0"/>
      </w:pPr>
      <w:r w:rsidRPr="00A95522">
        <w:t xml:space="preserve">Priame riziká: </w:t>
      </w:r>
    </w:p>
    <w:p w:rsidR="0017333C" w:rsidRDefault="0017333C" w:rsidP="00422E5B">
      <w:pPr>
        <w:pStyle w:val="Odsekzoznamu"/>
        <w:numPr>
          <w:ilvl w:val="0"/>
          <w:numId w:val="11"/>
        </w:numPr>
        <w:spacing w:before="120" w:line="276" w:lineRule="auto"/>
        <w:ind w:left="851" w:hanging="425"/>
        <w:jc w:val="both"/>
      </w:pPr>
      <w:r>
        <w:t>vývoj b</w:t>
      </w:r>
      <w:r w:rsidR="00FE1F84">
        <w:t>ežných príjmov v priebehu roka</w:t>
      </w:r>
      <w:r w:rsidR="00C963BA">
        <w:t xml:space="preserve"> </w:t>
      </w:r>
    </w:p>
    <w:p w:rsidR="00751091" w:rsidRDefault="00201F9A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schopnosť splácať istiny a úroky týkajúce sa financovania a</w:t>
      </w:r>
      <w:r w:rsidR="001F581F">
        <w:t> </w:t>
      </w:r>
      <w:r>
        <w:t>pre</w:t>
      </w:r>
      <w:r w:rsidR="001F581F">
        <w:t xml:space="preserve"> - pred</w:t>
      </w:r>
      <w:r>
        <w:t xml:space="preserve">financovania investičného programu </w:t>
      </w:r>
      <w:r w:rsidR="0011400E">
        <w:t>Mesta</w:t>
      </w:r>
      <w:r>
        <w:t xml:space="preserve"> Košice</w:t>
      </w:r>
      <w:r w:rsidR="00751091">
        <w:t>,</w:t>
      </w:r>
    </w:p>
    <w:p w:rsidR="00EF5F57" w:rsidRDefault="008F007B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v</w:t>
      </w:r>
      <w:r w:rsidR="00FE1F84">
        <w:t> návrhu rozpočtu</w:t>
      </w:r>
      <w:r w:rsidR="00EF5F57">
        <w:t xml:space="preserve"> </w:t>
      </w:r>
      <w:r>
        <w:t xml:space="preserve">je </w:t>
      </w:r>
      <w:r w:rsidR="00EF5F57">
        <w:t xml:space="preserve">počítané </w:t>
      </w:r>
      <w:r w:rsidR="0011400E">
        <w:t>s</w:t>
      </w:r>
      <w:r w:rsidR="00EF5F57">
        <w:t xml:space="preserve"> ďalšími </w:t>
      </w:r>
      <w:r w:rsidR="0079475E">
        <w:t>úverovými zdrojm</w:t>
      </w:r>
      <w:r w:rsidR="00396AF0">
        <w:t xml:space="preserve">i, </w:t>
      </w:r>
      <w:r>
        <w:t xml:space="preserve">ktoré </w:t>
      </w:r>
      <w:r w:rsidR="00FE1F84">
        <w:t>budú navyšovať</w:t>
      </w:r>
      <w:r w:rsidR="00577CE4">
        <w:t xml:space="preserve"> dlh</w:t>
      </w:r>
      <w:r w:rsidR="00E60F86">
        <w:t>,</w:t>
      </w:r>
    </w:p>
    <w:p w:rsidR="00C2611A" w:rsidRDefault="00C2611A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stav d</w:t>
      </w:r>
      <w:r w:rsidR="00201F9A">
        <w:t xml:space="preserve">lhodobých záväzkov </w:t>
      </w:r>
      <w:r w:rsidR="0011400E">
        <w:t>Mesta</w:t>
      </w:r>
      <w:r w:rsidR="00201F9A">
        <w:t xml:space="preserve"> Košice</w:t>
      </w:r>
      <w:r w:rsidR="00A95522">
        <w:t>,</w:t>
      </w:r>
    </w:p>
    <w:p w:rsidR="00422E5B" w:rsidRDefault="00422E5B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projekty PPP,</w:t>
      </w:r>
    </w:p>
    <w:p w:rsidR="00751091" w:rsidRDefault="00751091" w:rsidP="00E60F86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 xml:space="preserve">stav finančnej rezervy </w:t>
      </w:r>
      <w:r w:rsidR="0011400E">
        <w:t>Mesta</w:t>
      </w:r>
      <w:r>
        <w:t xml:space="preserve"> Košice</w:t>
      </w:r>
      <w:r w:rsidR="00201F9A">
        <w:t xml:space="preserve"> (rezervný fond)</w:t>
      </w:r>
      <w:r w:rsidR="00C2611A">
        <w:t>,</w:t>
      </w:r>
    </w:p>
    <w:p w:rsidR="000B7E85" w:rsidRDefault="00201F9A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 xml:space="preserve">vývoj </w:t>
      </w:r>
      <w:r w:rsidR="000B7E85">
        <w:t>inflácie</w:t>
      </w:r>
      <w:r w:rsidR="0011400E">
        <w:t>,</w:t>
      </w:r>
      <w:r w:rsidR="00F91994">
        <w:t xml:space="preserve"> ktorá ovplyvňuje úroky,</w:t>
      </w:r>
    </w:p>
    <w:p w:rsidR="00751091" w:rsidRDefault="000B7E85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ekonomické a hospodárske opatrenia Vlády SR</w:t>
      </w:r>
      <w:r w:rsidR="00C963BA">
        <w:t>, MF SR.</w:t>
      </w:r>
    </w:p>
    <w:p w:rsidR="00EF3A66" w:rsidRPr="00EF3A66" w:rsidRDefault="00A95522" w:rsidP="00EF3A66">
      <w:pPr>
        <w:pStyle w:val="Nadpis2"/>
        <w:spacing w:after="0"/>
      </w:pPr>
      <w:r w:rsidRPr="00A95522">
        <w:t>Nepriame riziká</w:t>
      </w:r>
      <w:r w:rsidR="000B7E85" w:rsidRPr="00A95522">
        <w:t>:</w:t>
      </w:r>
    </w:p>
    <w:p w:rsidR="00E60F86" w:rsidRDefault="008F007B" w:rsidP="00FE1F84">
      <w:pPr>
        <w:pStyle w:val="Odsekzoznamu"/>
        <w:numPr>
          <w:ilvl w:val="0"/>
          <w:numId w:val="11"/>
        </w:numPr>
        <w:spacing w:before="120" w:line="276" w:lineRule="auto"/>
        <w:ind w:left="850" w:hanging="425"/>
        <w:jc w:val="both"/>
      </w:pPr>
      <w:r>
        <w:t>stav a  hodnota predaného</w:t>
      </w:r>
      <w:r w:rsidR="00E60F86">
        <w:t xml:space="preserve"> </w:t>
      </w:r>
      <w:r>
        <w:t>dlhodobého majetku a odpisy dlhodobého majetku Mesta Košice,</w:t>
      </w:r>
    </w:p>
    <w:p w:rsidR="000B7E85" w:rsidRDefault="00396AF0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organizácie a spoločnosti</w:t>
      </w:r>
      <w:r w:rsidR="00C2611A">
        <w:t xml:space="preserve">, </w:t>
      </w:r>
      <w:r w:rsidR="00751091">
        <w:t xml:space="preserve">ktoré </w:t>
      </w:r>
      <w:r w:rsidR="00C2611A">
        <w:t xml:space="preserve">sú </w:t>
      </w:r>
      <w:r w:rsidR="008F007B">
        <w:t>priamo</w:t>
      </w:r>
      <w:r w:rsidR="00C2611A">
        <w:t xml:space="preserve"> na</w:t>
      </w:r>
      <w:r w:rsidR="00751091">
        <w:t>viazané na roz</w:t>
      </w:r>
      <w:r w:rsidR="000B7E85">
        <w:t xml:space="preserve">počet </w:t>
      </w:r>
      <w:r w:rsidR="0011400E">
        <w:t>Mesta</w:t>
      </w:r>
      <w:r w:rsidR="000B7E85">
        <w:t xml:space="preserve"> Košice a využívajú úverové zdroje. Napríklad: </w:t>
      </w:r>
      <w:r w:rsidR="00751091">
        <w:t>DPMK a.s.</w:t>
      </w:r>
      <w:r w:rsidR="00C2611A">
        <w:t xml:space="preserve">, </w:t>
      </w:r>
      <w:r w:rsidR="008F007B">
        <w:t>SMZ</w:t>
      </w:r>
      <w:r w:rsidR="00C47482">
        <w:t xml:space="preserve"> Košice</w:t>
      </w:r>
      <w:r w:rsidR="00C477DA">
        <w:t xml:space="preserve">, </w:t>
      </w:r>
      <w:r w:rsidR="000B7E85">
        <w:t xml:space="preserve">BPMK s.r.o., </w:t>
      </w:r>
      <w:r w:rsidR="00CD2287">
        <w:br/>
      </w:r>
      <w:r w:rsidR="000B7E85">
        <w:t>MFK a.s.</w:t>
      </w:r>
      <w:r w:rsidR="001D19FA">
        <w:t xml:space="preserve"> </w:t>
      </w:r>
      <w:r w:rsidR="000B7E85">
        <w:t>a iné</w:t>
      </w:r>
      <w:r w:rsidR="0011400E">
        <w:t>.</w:t>
      </w:r>
    </w:p>
    <w:p w:rsidR="00322D30" w:rsidRDefault="00396AF0" w:rsidP="0011400E">
      <w:pPr>
        <w:pStyle w:val="Odsekzoznamu"/>
        <w:spacing w:before="120" w:line="276" w:lineRule="auto"/>
        <w:ind w:left="851"/>
        <w:jc w:val="both"/>
      </w:pPr>
      <w:r>
        <w:t>N</w:t>
      </w:r>
      <w:r w:rsidR="001D19FA">
        <w:t xml:space="preserve">emôžem vylúčiť </w:t>
      </w:r>
      <w:r w:rsidR="000B7E85">
        <w:t>ani tú skutočnosť</w:t>
      </w:r>
      <w:r w:rsidR="001D19FA">
        <w:t>,</w:t>
      </w:r>
      <w:r w:rsidR="00C2611A">
        <w:t xml:space="preserve"> </w:t>
      </w:r>
      <w:r w:rsidR="001D19FA">
        <w:t xml:space="preserve">že </w:t>
      </w:r>
      <w:r w:rsidR="000B7E85">
        <w:t>môže dôjsť</w:t>
      </w:r>
      <w:r w:rsidR="001D19FA">
        <w:t xml:space="preserve"> k okolnostiam </w:t>
      </w:r>
      <w:r w:rsidR="00C2611A">
        <w:t xml:space="preserve">v priebehu </w:t>
      </w:r>
      <w:r w:rsidR="001D19FA">
        <w:t>realizácie odsúhlasených investičných projektov</w:t>
      </w:r>
      <w:r w:rsidR="00C2611A">
        <w:t xml:space="preserve"> z Euro fondov,</w:t>
      </w:r>
      <w:r w:rsidR="001D19FA">
        <w:t xml:space="preserve"> </w:t>
      </w:r>
      <w:r w:rsidR="00C2611A">
        <w:t xml:space="preserve">že </w:t>
      </w:r>
      <w:r w:rsidR="001D19FA">
        <w:t>niektorý</w:t>
      </w:r>
      <w:r w:rsidR="00C2611A">
        <w:t xml:space="preserve"> projekt bude </w:t>
      </w:r>
      <w:r w:rsidR="001D19FA">
        <w:t xml:space="preserve">vylúčený a </w:t>
      </w:r>
      <w:r w:rsidR="00C2611A">
        <w:t xml:space="preserve">Mesto Košice </w:t>
      </w:r>
      <w:r w:rsidR="001D19FA">
        <w:t>bude splácať projekt</w:t>
      </w:r>
      <w:r w:rsidR="00C2611A">
        <w:t xml:space="preserve"> z vlastných zdrojov</w:t>
      </w:r>
      <w:r w:rsidR="00F91994">
        <w:rPr>
          <w:rStyle w:val="Odkaznapoznmkupodiarou"/>
        </w:rPr>
        <w:footnoteReference w:id="3"/>
      </w:r>
      <w:r w:rsidR="00C2611A">
        <w:t>.</w:t>
      </w:r>
      <w:r w:rsidR="00322D30">
        <w:t xml:space="preserve"> </w:t>
      </w:r>
    </w:p>
    <w:p w:rsidR="00C2611A" w:rsidRDefault="00322D30" w:rsidP="00FE1F84">
      <w:pPr>
        <w:spacing w:before="240" w:after="120"/>
        <w:ind w:firstLine="360"/>
        <w:jc w:val="both"/>
      </w:pPr>
      <w:r>
        <w:t>Na základe týchto mojich zistení odporúčam</w:t>
      </w:r>
      <w:r w:rsidR="00E60F86">
        <w:t xml:space="preserve"> </w:t>
      </w:r>
      <w:r>
        <w:t>zvažovať</w:t>
      </w:r>
      <w:r w:rsidR="007C1846">
        <w:t xml:space="preserve"> a analyzovať potrebu pre</w:t>
      </w:r>
      <w:r>
        <w:t xml:space="preserve"> ďalšie úverové zaťaženie </w:t>
      </w:r>
      <w:r w:rsidR="0011400E">
        <w:t>Mesta</w:t>
      </w:r>
      <w:r>
        <w:t xml:space="preserve"> Košice </w:t>
      </w:r>
      <w:r w:rsidR="000B7E85">
        <w:t xml:space="preserve">pred </w:t>
      </w:r>
      <w:r>
        <w:t>prijatím nových úverov.</w:t>
      </w:r>
    </w:p>
    <w:p w:rsidR="007C1846" w:rsidRDefault="007C1846" w:rsidP="007C1846">
      <w:pPr>
        <w:jc w:val="right"/>
      </w:pPr>
    </w:p>
    <w:p w:rsidR="007C1846" w:rsidRDefault="007C1846" w:rsidP="007C1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441B1">
        <w:t>Ing. Hana Jakubíková v.</w:t>
      </w:r>
      <w:r w:rsidR="003F1708">
        <w:t xml:space="preserve"> </w:t>
      </w:r>
      <w:r w:rsidR="004441B1">
        <w:t>r.</w:t>
      </w:r>
      <w:r>
        <w:t xml:space="preserve"> </w:t>
      </w:r>
    </w:p>
    <w:p w:rsidR="004441B1" w:rsidRDefault="007C1846" w:rsidP="007C1846">
      <w:pPr>
        <w:jc w:val="right"/>
      </w:pPr>
      <w:r>
        <w:t>H</w:t>
      </w:r>
      <w:r w:rsidR="004441B1">
        <w:t xml:space="preserve">lavný kontrolór </w:t>
      </w:r>
      <w:r w:rsidR="00512F0A">
        <w:t>m</w:t>
      </w:r>
      <w:r w:rsidR="00FE1F84">
        <w:t>esta</w:t>
      </w:r>
      <w:r>
        <w:t xml:space="preserve"> Košice</w:t>
      </w:r>
    </w:p>
    <w:p w:rsidR="004441B1" w:rsidRDefault="004441B1" w:rsidP="00322D30">
      <w:pPr>
        <w:jc w:val="both"/>
      </w:pPr>
    </w:p>
    <w:p w:rsidR="00E53C3E" w:rsidRDefault="004441B1" w:rsidP="00E53C3E">
      <w:r>
        <w:t>V Košiciach, dňa</w:t>
      </w:r>
      <w:r w:rsidR="00EF3A66">
        <w:t xml:space="preserve"> 07.01.2011</w:t>
      </w:r>
    </w:p>
    <w:sectPr w:rsidR="00E53C3E" w:rsidSect="00176C4A">
      <w:headerReference w:type="default" r:id="rId17"/>
      <w:headerReference w:type="first" r:id="rId18"/>
      <w:pgSz w:w="11906" w:h="16838" w:code="9"/>
      <w:pgMar w:top="1418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B7" w:rsidRDefault="009F79B7" w:rsidP="00DD68E2">
      <w:r>
        <w:separator/>
      </w:r>
    </w:p>
  </w:endnote>
  <w:endnote w:type="continuationSeparator" w:id="0">
    <w:p w:rsidR="009F79B7" w:rsidRDefault="009F79B7" w:rsidP="00DD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B7" w:rsidRDefault="009F79B7" w:rsidP="00DD68E2">
      <w:r>
        <w:separator/>
      </w:r>
    </w:p>
  </w:footnote>
  <w:footnote w:type="continuationSeparator" w:id="0">
    <w:p w:rsidR="009F79B7" w:rsidRDefault="009F79B7" w:rsidP="00DD68E2">
      <w:r>
        <w:continuationSeparator/>
      </w:r>
    </w:p>
  </w:footnote>
  <w:footnote w:id="1">
    <w:p w:rsidR="001B358D" w:rsidRDefault="001B358D">
      <w:pPr>
        <w:pStyle w:val="Textpoznmkypodiarou"/>
      </w:pPr>
      <w:r>
        <w:rPr>
          <w:rStyle w:val="Odkaznapoznmkupodiarou"/>
        </w:rPr>
        <w:footnoteRef/>
      </w:r>
      <w:r>
        <w:t xml:space="preserve"> Zákon č. 583/2004 z. z. o rozpočtových pravidlách územnej samosprávy § 17 ods. 7</w:t>
      </w:r>
      <w:r w:rsidR="00C963BA">
        <w:t>.</w:t>
      </w:r>
    </w:p>
  </w:footnote>
  <w:footnote w:id="2">
    <w:p w:rsidR="004468B0" w:rsidRDefault="004468B0" w:rsidP="00F2275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č. 583/2004 Z. z. o rozpočtových pravidlách územnej samosprávy § 5</w:t>
      </w:r>
      <w:r w:rsidR="00C963BA">
        <w:t>.</w:t>
      </w:r>
    </w:p>
  </w:footnote>
  <w:footnote w:id="3">
    <w:p w:rsidR="00F91994" w:rsidRDefault="00F91994" w:rsidP="00B108A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č. 528/2008 Z. z. o pomoci a podpora poskytovanej z fondov Európskej únií § 24 – 24j</w:t>
      </w:r>
      <w:r w:rsidR="00C963B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46" w:rsidRDefault="00533446" w:rsidP="00533446">
    <w:pP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C" w:rsidRPr="00CC3C0C" w:rsidRDefault="00CC3C0C">
    <w:pPr>
      <w:pStyle w:val="Hlavika"/>
      <w:rPr>
        <w:b/>
        <w:sz w:val="20"/>
      </w:rPr>
    </w:pPr>
    <w:r w:rsidRPr="00CC3C0C">
      <w:rPr>
        <w:b/>
        <w:sz w:val="20"/>
      </w:rPr>
      <w:t>Útvar Hlavného kontrolóra</w:t>
    </w:r>
  </w:p>
  <w:p w:rsidR="00CC3C0C" w:rsidRPr="00CC3C0C" w:rsidRDefault="00CC3C0C">
    <w:pPr>
      <w:pStyle w:val="Hlavika"/>
      <w:rPr>
        <w:b/>
        <w:sz w:val="20"/>
      </w:rPr>
    </w:pPr>
    <w:r w:rsidRPr="00CC3C0C">
      <w:rPr>
        <w:b/>
        <w:sz w:val="20"/>
      </w:rPr>
      <w:t>Mesto Košice</w:t>
    </w:r>
  </w:p>
  <w:p w:rsidR="00CC3C0C" w:rsidRPr="005A588B" w:rsidRDefault="00CC3C0C" w:rsidP="00CC3C0C">
    <w:pPr>
      <w:pStyle w:val="Nzov"/>
      <w:spacing w:before="240" w:after="0"/>
      <w:jc w:val="center"/>
    </w:pPr>
    <w:r w:rsidRPr="005A588B">
      <w:t>STANOVISKO</w:t>
    </w:r>
    <w:r w:rsidRPr="005A588B">
      <w:br/>
      <w:t xml:space="preserve"> k prijatiu návratn</w:t>
    </w:r>
    <w:r w:rsidR="00655252">
      <w:t xml:space="preserve">ých zdrojov financovania </w:t>
    </w:r>
    <w:r w:rsidR="00EF3A66">
      <w:t>– úver na krátkodobé financovanie prevádzkových potrieb</w:t>
    </w:r>
    <w:r w:rsidR="005E0745">
      <w:t xml:space="preserve"> </w:t>
    </w:r>
  </w:p>
  <w:p w:rsidR="00CC3C0C" w:rsidRDefault="00CC3C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8D0"/>
    <w:multiLevelType w:val="hybridMultilevel"/>
    <w:tmpl w:val="756E9FC8"/>
    <w:lvl w:ilvl="0" w:tplc="A98CC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9222CF"/>
    <w:multiLevelType w:val="hybridMultilevel"/>
    <w:tmpl w:val="ADB0BF08"/>
    <w:lvl w:ilvl="0" w:tplc="025ABA08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674CF"/>
    <w:multiLevelType w:val="hybridMultilevel"/>
    <w:tmpl w:val="E2881C3A"/>
    <w:lvl w:ilvl="0" w:tplc="3D3A3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5169C2"/>
    <w:multiLevelType w:val="hybridMultilevel"/>
    <w:tmpl w:val="2CD67C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46C59"/>
    <w:multiLevelType w:val="hybridMultilevel"/>
    <w:tmpl w:val="CA0EEFF0"/>
    <w:lvl w:ilvl="0" w:tplc="74E29AA6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272F"/>
    <w:multiLevelType w:val="hybridMultilevel"/>
    <w:tmpl w:val="ADB0BF08"/>
    <w:lvl w:ilvl="0" w:tplc="025ABA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730"/>
    <w:multiLevelType w:val="hybridMultilevel"/>
    <w:tmpl w:val="C17C4DAE"/>
    <w:lvl w:ilvl="0" w:tplc="5AE6B550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FF7F84"/>
    <w:multiLevelType w:val="hybridMultilevel"/>
    <w:tmpl w:val="ED267590"/>
    <w:lvl w:ilvl="0" w:tplc="4768D50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30155908"/>
    <w:multiLevelType w:val="hybridMultilevel"/>
    <w:tmpl w:val="2CF2B03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4515A"/>
    <w:multiLevelType w:val="multilevel"/>
    <w:tmpl w:val="B198C84C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B972041"/>
    <w:multiLevelType w:val="hybridMultilevel"/>
    <w:tmpl w:val="E49A85A2"/>
    <w:lvl w:ilvl="0" w:tplc="961E95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0F783F"/>
    <w:multiLevelType w:val="hybridMultilevel"/>
    <w:tmpl w:val="ADB0BF08"/>
    <w:lvl w:ilvl="0" w:tplc="025ABA08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D21BE"/>
    <w:multiLevelType w:val="hybridMultilevel"/>
    <w:tmpl w:val="427AD628"/>
    <w:lvl w:ilvl="0" w:tplc="26C26D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E5127B"/>
    <w:multiLevelType w:val="hybridMultilevel"/>
    <w:tmpl w:val="2E2A5848"/>
    <w:lvl w:ilvl="0" w:tplc="F634B30A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>
    <w:nsid w:val="77E73CB3"/>
    <w:multiLevelType w:val="hybridMultilevel"/>
    <w:tmpl w:val="8062C870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D8519D7"/>
    <w:multiLevelType w:val="hybridMultilevel"/>
    <w:tmpl w:val="FCFE52E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9"/>
  </w:num>
  <w:num w:numId="5">
    <w:abstractNumId w:val="9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ocumentProtection w:edit="readOnly" w:enforcement="1" w:cryptProviderType="rsaFull" w:cryptAlgorithmClass="hash" w:cryptAlgorithmType="typeAny" w:cryptAlgorithmSid="4" w:cryptSpinCount="100000" w:hash="XUBZ3r27wWVitJOTHqlyryJY3WM=" w:salt="yQ+BKw7zAjzAp4ZLeUeXX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D68E2"/>
    <w:rsid w:val="00005C4D"/>
    <w:rsid w:val="000103C0"/>
    <w:rsid w:val="00022BEF"/>
    <w:rsid w:val="00030C1F"/>
    <w:rsid w:val="000838AC"/>
    <w:rsid w:val="00085B5C"/>
    <w:rsid w:val="000B1C65"/>
    <w:rsid w:val="000B7E85"/>
    <w:rsid w:val="000C7E92"/>
    <w:rsid w:val="000D2D7D"/>
    <w:rsid w:val="000D6864"/>
    <w:rsid w:val="000E1A43"/>
    <w:rsid w:val="000E3B82"/>
    <w:rsid w:val="00101B27"/>
    <w:rsid w:val="0011400E"/>
    <w:rsid w:val="00142AF0"/>
    <w:rsid w:val="001479F8"/>
    <w:rsid w:val="00160530"/>
    <w:rsid w:val="00162D0C"/>
    <w:rsid w:val="00167E9D"/>
    <w:rsid w:val="0017333C"/>
    <w:rsid w:val="00175A61"/>
    <w:rsid w:val="00176C4A"/>
    <w:rsid w:val="00187D8B"/>
    <w:rsid w:val="001946C5"/>
    <w:rsid w:val="001A5B80"/>
    <w:rsid w:val="001B358D"/>
    <w:rsid w:val="001C726E"/>
    <w:rsid w:val="001D19FA"/>
    <w:rsid w:val="001D2B68"/>
    <w:rsid w:val="001D3029"/>
    <w:rsid w:val="001E24BF"/>
    <w:rsid w:val="001F581F"/>
    <w:rsid w:val="00201F9A"/>
    <w:rsid w:val="00215208"/>
    <w:rsid w:val="00240EE0"/>
    <w:rsid w:val="002624F6"/>
    <w:rsid w:val="002635C5"/>
    <w:rsid w:val="00264678"/>
    <w:rsid w:val="00273F2C"/>
    <w:rsid w:val="00275505"/>
    <w:rsid w:val="00284EB5"/>
    <w:rsid w:val="002A6688"/>
    <w:rsid w:val="002B1B9C"/>
    <w:rsid w:val="002F5799"/>
    <w:rsid w:val="00314023"/>
    <w:rsid w:val="003140F4"/>
    <w:rsid w:val="00314B81"/>
    <w:rsid w:val="00322D30"/>
    <w:rsid w:val="00350871"/>
    <w:rsid w:val="003522E7"/>
    <w:rsid w:val="00361537"/>
    <w:rsid w:val="00374A3B"/>
    <w:rsid w:val="00396AF0"/>
    <w:rsid w:val="003A3F86"/>
    <w:rsid w:val="003D28B1"/>
    <w:rsid w:val="003E7E64"/>
    <w:rsid w:val="003F1708"/>
    <w:rsid w:val="003F640E"/>
    <w:rsid w:val="003F6DDB"/>
    <w:rsid w:val="00404BF6"/>
    <w:rsid w:val="00422E5B"/>
    <w:rsid w:val="0043799E"/>
    <w:rsid w:val="004441B1"/>
    <w:rsid w:val="004468B0"/>
    <w:rsid w:val="00450CA6"/>
    <w:rsid w:val="0045257D"/>
    <w:rsid w:val="00473B2C"/>
    <w:rsid w:val="00481F93"/>
    <w:rsid w:val="00487EF9"/>
    <w:rsid w:val="004C145F"/>
    <w:rsid w:val="004C67DD"/>
    <w:rsid w:val="004D16C7"/>
    <w:rsid w:val="004E48D6"/>
    <w:rsid w:val="004E7E77"/>
    <w:rsid w:val="00501E03"/>
    <w:rsid w:val="005126BF"/>
    <w:rsid w:val="00512F0A"/>
    <w:rsid w:val="0051384A"/>
    <w:rsid w:val="00517F0C"/>
    <w:rsid w:val="00533446"/>
    <w:rsid w:val="005652D1"/>
    <w:rsid w:val="00575386"/>
    <w:rsid w:val="00577CE4"/>
    <w:rsid w:val="005823E7"/>
    <w:rsid w:val="00582FFB"/>
    <w:rsid w:val="005A588B"/>
    <w:rsid w:val="005C56B4"/>
    <w:rsid w:val="005D1F78"/>
    <w:rsid w:val="005E0745"/>
    <w:rsid w:val="005E084E"/>
    <w:rsid w:val="005E7243"/>
    <w:rsid w:val="00655252"/>
    <w:rsid w:val="00660AE8"/>
    <w:rsid w:val="00677E53"/>
    <w:rsid w:val="006A4322"/>
    <w:rsid w:val="006C1F90"/>
    <w:rsid w:val="006C565D"/>
    <w:rsid w:val="006E34CC"/>
    <w:rsid w:val="006F7959"/>
    <w:rsid w:val="00736043"/>
    <w:rsid w:val="00747341"/>
    <w:rsid w:val="00751091"/>
    <w:rsid w:val="007640BF"/>
    <w:rsid w:val="00786537"/>
    <w:rsid w:val="0079216F"/>
    <w:rsid w:val="0079475E"/>
    <w:rsid w:val="00795EB2"/>
    <w:rsid w:val="007A4218"/>
    <w:rsid w:val="007C1846"/>
    <w:rsid w:val="007D3AA3"/>
    <w:rsid w:val="007D50A9"/>
    <w:rsid w:val="007E13B0"/>
    <w:rsid w:val="007F31C4"/>
    <w:rsid w:val="007F6657"/>
    <w:rsid w:val="00820BB6"/>
    <w:rsid w:val="00880142"/>
    <w:rsid w:val="00895A2C"/>
    <w:rsid w:val="008C4CA7"/>
    <w:rsid w:val="008F007B"/>
    <w:rsid w:val="008F07C6"/>
    <w:rsid w:val="008F6CAD"/>
    <w:rsid w:val="00901A42"/>
    <w:rsid w:val="009245CB"/>
    <w:rsid w:val="00937C37"/>
    <w:rsid w:val="00971ACD"/>
    <w:rsid w:val="009721EE"/>
    <w:rsid w:val="009832A5"/>
    <w:rsid w:val="009F79B7"/>
    <w:rsid w:val="00A02ECA"/>
    <w:rsid w:val="00A35BB3"/>
    <w:rsid w:val="00A5724D"/>
    <w:rsid w:val="00A61F8C"/>
    <w:rsid w:val="00A95522"/>
    <w:rsid w:val="00A96B13"/>
    <w:rsid w:val="00AC1E54"/>
    <w:rsid w:val="00AC7CF0"/>
    <w:rsid w:val="00AE0087"/>
    <w:rsid w:val="00AF103D"/>
    <w:rsid w:val="00B06999"/>
    <w:rsid w:val="00B108AD"/>
    <w:rsid w:val="00B25587"/>
    <w:rsid w:val="00B4597D"/>
    <w:rsid w:val="00B740CC"/>
    <w:rsid w:val="00B86822"/>
    <w:rsid w:val="00B97F4E"/>
    <w:rsid w:val="00BB1231"/>
    <w:rsid w:val="00BB2493"/>
    <w:rsid w:val="00BB7FFE"/>
    <w:rsid w:val="00BC44CC"/>
    <w:rsid w:val="00BC7D55"/>
    <w:rsid w:val="00C022BD"/>
    <w:rsid w:val="00C103CE"/>
    <w:rsid w:val="00C13536"/>
    <w:rsid w:val="00C22D9A"/>
    <w:rsid w:val="00C2611A"/>
    <w:rsid w:val="00C26A49"/>
    <w:rsid w:val="00C27C45"/>
    <w:rsid w:val="00C33A81"/>
    <w:rsid w:val="00C47482"/>
    <w:rsid w:val="00C477DA"/>
    <w:rsid w:val="00C6687C"/>
    <w:rsid w:val="00C7508C"/>
    <w:rsid w:val="00C963BA"/>
    <w:rsid w:val="00C96BDE"/>
    <w:rsid w:val="00CB366F"/>
    <w:rsid w:val="00CC3C0C"/>
    <w:rsid w:val="00CC3C30"/>
    <w:rsid w:val="00CD2287"/>
    <w:rsid w:val="00D2303F"/>
    <w:rsid w:val="00D263BE"/>
    <w:rsid w:val="00D55455"/>
    <w:rsid w:val="00D56A02"/>
    <w:rsid w:val="00DD68E2"/>
    <w:rsid w:val="00DE0729"/>
    <w:rsid w:val="00DF3375"/>
    <w:rsid w:val="00E0748A"/>
    <w:rsid w:val="00E10A81"/>
    <w:rsid w:val="00E2035A"/>
    <w:rsid w:val="00E3041F"/>
    <w:rsid w:val="00E51BA0"/>
    <w:rsid w:val="00E532FC"/>
    <w:rsid w:val="00E53C3E"/>
    <w:rsid w:val="00E60F86"/>
    <w:rsid w:val="00E80DC6"/>
    <w:rsid w:val="00E97D7D"/>
    <w:rsid w:val="00EA065C"/>
    <w:rsid w:val="00EE0D75"/>
    <w:rsid w:val="00EF3A66"/>
    <w:rsid w:val="00EF5F57"/>
    <w:rsid w:val="00F21E2B"/>
    <w:rsid w:val="00F22751"/>
    <w:rsid w:val="00F512F9"/>
    <w:rsid w:val="00F67D55"/>
    <w:rsid w:val="00F77CEA"/>
    <w:rsid w:val="00F91994"/>
    <w:rsid w:val="00F92CAD"/>
    <w:rsid w:val="00FE1DFC"/>
    <w:rsid w:val="00FE1F84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C30"/>
    <w:rPr>
      <w:rFonts w:cs="Tahoma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80142"/>
    <w:pPr>
      <w:keepNext/>
      <w:numPr>
        <w:numId w:val="4"/>
      </w:numPr>
      <w:outlineLvl w:val="0"/>
    </w:pPr>
    <w:rPr>
      <w:rFonts w:eastAsiaTheme="majorEastAsia" w:cstheme="majorBidi"/>
      <w:b/>
      <w:caps/>
      <w:sz w:val="2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D6864"/>
    <w:pPr>
      <w:keepNext/>
      <w:numPr>
        <w:ilvl w:val="1"/>
        <w:numId w:val="4"/>
      </w:numPr>
      <w:spacing w:before="120" w:after="120"/>
      <w:jc w:val="both"/>
      <w:outlineLvl w:val="1"/>
    </w:pPr>
    <w:rPr>
      <w:rFonts w:eastAsiaTheme="majorEastAsia" w:cstheme="majorBidi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80142"/>
    <w:pPr>
      <w:keepNext/>
      <w:numPr>
        <w:ilvl w:val="2"/>
        <w:numId w:val="4"/>
      </w:numPr>
      <w:outlineLvl w:val="2"/>
    </w:pPr>
    <w:rPr>
      <w:rFonts w:cs="Times New Roman"/>
      <w:sz w:val="2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99"/>
    <w:unhideWhenUsed/>
    <w:rsid w:val="00B4597D"/>
    <w:rPr>
      <w:lang w:eastAsia="en-US"/>
    </w:rPr>
  </w:style>
  <w:style w:type="character" w:customStyle="1" w:styleId="DtumChar">
    <w:name w:val="Dátum Char"/>
    <w:basedOn w:val="Predvolenpsmoodseku"/>
    <w:link w:val="Dtum"/>
    <w:uiPriority w:val="99"/>
    <w:rsid w:val="00B4597D"/>
    <w:rPr>
      <w:rFonts w:ascii="Tahoma" w:hAnsi="Tahoma" w:cs="Tahoma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80142"/>
    <w:rPr>
      <w:rFonts w:eastAsiaTheme="majorEastAsia" w:cstheme="majorBidi"/>
      <w:b/>
      <w:caps/>
      <w:sz w:val="22"/>
      <w:lang w:eastAsia="cs-CZ"/>
    </w:rPr>
  </w:style>
  <w:style w:type="character" w:customStyle="1" w:styleId="Nadpis2Char">
    <w:name w:val="Nadpis 2 Char"/>
    <w:basedOn w:val="Predvolenpsmoodseku"/>
    <w:link w:val="Nadpis2"/>
    <w:rsid w:val="000D6864"/>
    <w:rPr>
      <w:rFonts w:eastAsiaTheme="majorEastAsia" w:cstheme="majorBidi"/>
      <w:sz w:val="24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0D6864"/>
    <w:pPr>
      <w:spacing w:before="120" w:after="300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D6864"/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styleId="Siln">
    <w:name w:val="Strong"/>
    <w:basedOn w:val="Predvolenpsmoodseku"/>
    <w:qFormat/>
    <w:rsid w:val="007D3AA3"/>
    <w:rPr>
      <w:b/>
      <w:bCs/>
    </w:rPr>
  </w:style>
  <w:style w:type="character" w:styleId="Nzovknihy">
    <w:name w:val="Book Title"/>
    <w:basedOn w:val="Predvolenpsmoodseku"/>
    <w:uiPriority w:val="33"/>
    <w:qFormat/>
    <w:rsid w:val="007D3AA3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D3AA3"/>
    <w:pPr>
      <w:keepLines/>
      <w:numPr>
        <w:numId w:val="0"/>
      </w:numPr>
      <w:spacing w:before="48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  <w:lang w:eastAsia="sk-SK"/>
    </w:rPr>
  </w:style>
  <w:style w:type="paragraph" w:styleId="Popis">
    <w:name w:val="caption"/>
    <w:basedOn w:val="Normlny"/>
    <w:next w:val="Normlny"/>
    <w:unhideWhenUsed/>
    <w:qFormat/>
    <w:rsid w:val="007D3AA3"/>
    <w:pPr>
      <w:spacing w:after="200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880142"/>
    <w:pPr>
      <w:ind w:left="708"/>
    </w:pPr>
  </w:style>
  <w:style w:type="paragraph" w:styleId="Podtitul">
    <w:name w:val="Subtitle"/>
    <w:basedOn w:val="Normlny"/>
    <w:next w:val="Normlny"/>
    <w:link w:val="PodtitulChar"/>
    <w:qFormat/>
    <w:rsid w:val="007D3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7D3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0C1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0C1F"/>
    <w:rPr>
      <w:rFonts w:cs="Tahoma"/>
      <w:sz w:val="24"/>
      <w:szCs w:val="24"/>
      <w:lang w:eastAsia="ar-SA"/>
    </w:rPr>
  </w:style>
  <w:style w:type="paragraph" w:styleId="Bezriadkovania">
    <w:name w:val="No Spacing"/>
    <w:link w:val="BezriadkovaniaChar"/>
    <w:uiPriority w:val="1"/>
    <w:qFormat/>
    <w:rsid w:val="007D3AA3"/>
    <w:rPr>
      <w:rFonts w:cs="Tahoma"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82FFB"/>
    <w:rPr>
      <w:rFonts w:cs="Tahoma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880142"/>
    <w:rPr>
      <w:sz w:val="22"/>
      <w:lang w:eastAsia="cs-CZ"/>
    </w:rPr>
  </w:style>
  <w:style w:type="character" w:styleId="Zvraznenie">
    <w:name w:val="Emphasis"/>
    <w:basedOn w:val="Predvolenpsmoodseku"/>
    <w:qFormat/>
    <w:rsid w:val="00880142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D68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68E2"/>
    <w:rPr>
      <w:rFonts w:cs="Tahom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68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68E2"/>
    <w:rPr>
      <w:rFonts w:cs="Tahom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8E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8E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4B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4BF6"/>
    <w:rPr>
      <w:rFonts w:cs="Tahoma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4BF6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275505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96BDE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9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Excel_2007_Workbook2.xls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Excel_2007_Workbook4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Office_Excel_2007_Workbook1.xls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Excel_2007_Workbook3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895FC6-8A7E-477A-AF80-6ED55746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8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2010-10-27T10:15:00Z</dcterms:created>
  <dcterms:modified xsi:type="dcterms:W3CDTF">2011-01-07T08:50:00Z</dcterms:modified>
</cp:coreProperties>
</file>