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02" w:rsidRPr="000D6864" w:rsidRDefault="00D56A02" w:rsidP="00CC3C0C">
      <w:pPr>
        <w:pStyle w:val="Nzov"/>
        <w:spacing w:before="240" w:after="240"/>
        <w:rPr>
          <w:u w:val="single"/>
        </w:rPr>
      </w:pPr>
      <w:r w:rsidRPr="000D6864">
        <w:rPr>
          <w:u w:val="single"/>
        </w:rPr>
        <w:t xml:space="preserve">POSÚDENIE VÝVOJA ZADLŽENOSTI </w:t>
      </w:r>
    </w:p>
    <w:p w:rsidR="00240EE0" w:rsidRDefault="002635C5" w:rsidP="00533446">
      <w:pPr>
        <w:spacing w:before="240"/>
        <w:ind w:firstLine="426"/>
        <w:jc w:val="both"/>
      </w:pPr>
      <w:r>
        <w:t>V súlade so znením</w:t>
      </w:r>
      <w:r w:rsidR="009245CB">
        <w:t xml:space="preserve"> § 17 ods. 9 zákona č. 583/2004 Z. z. o rozpočtových pravidlách územnej samosprávy ako hlavný kontrolór </w:t>
      </w:r>
      <w:r w:rsidR="00512F0A">
        <w:t>m</w:t>
      </w:r>
      <w:r w:rsidR="0011400E">
        <w:t>esta</w:t>
      </w:r>
      <w:r w:rsidR="009245CB">
        <w:t xml:space="preserve"> </w:t>
      </w:r>
      <w:r w:rsidR="00B740CC">
        <w:t>preverujem</w:t>
      </w:r>
      <w:r w:rsidR="009245CB">
        <w:t xml:space="preserve"> dodržiavanie podmienok na prijatie </w:t>
      </w:r>
      <w:r w:rsidR="0079475E">
        <w:t>návratných zdrojov financovania</w:t>
      </w:r>
      <w:r w:rsidR="009245CB">
        <w:t xml:space="preserve"> a</w:t>
      </w:r>
      <w:r w:rsidR="00B740CC">
        <w:t xml:space="preserve"> to z dôvodu, že </w:t>
      </w:r>
      <w:r w:rsidR="00512F0A">
        <w:t>M</w:t>
      </w:r>
      <w:r w:rsidR="00B740CC">
        <w:t>esto Košice môže prijať úver</w:t>
      </w:r>
      <w:r w:rsidR="00215208">
        <w:t>y</w:t>
      </w:r>
      <w:r w:rsidR="00B740CC">
        <w:t xml:space="preserve"> za splneni</w:t>
      </w:r>
      <w:r w:rsidR="0011400E">
        <w:t>a</w:t>
      </w:r>
      <w:r w:rsidR="00B740CC">
        <w:t xml:space="preserve"> týchto podmienok:</w:t>
      </w:r>
    </w:p>
    <w:p w:rsidR="00215208" w:rsidRDefault="00215208" w:rsidP="001A5B80">
      <w:pPr>
        <w:pStyle w:val="Odsekzoznamu"/>
        <w:numPr>
          <w:ilvl w:val="0"/>
          <w:numId w:val="9"/>
        </w:numPr>
        <w:spacing w:before="120"/>
        <w:jc w:val="both"/>
      </w:pPr>
      <w:r>
        <w:t>celková suma dlhu územnej samosprávy ku koncu rozpočtového roka neprekročí 60% skutočných bežných príjmov predchádzajúceho rozpočtového roka a</w:t>
      </w:r>
    </w:p>
    <w:p w:rsidR="00215208" w:rsidRDefault="00215208" w:rsidP="00B25587">
      <w:pPr>
        <w:pStyle w:val="Odsekzoznamu"/>
        <w:numPr>
          <w:ilvl w:val="0"/>
          <w:numId w:val="9"/>
        </w:numPr>
        <w:jc w:val="both"/>
      </w:pPr>
      <w:r>
        <w:t>suma ročných splátok návratných zdrojov financovania vrátane úrokov neprekročí 25% skutočne bežných príjmov predchádzajúceho rozpočtového roka.</w:t>
      </w:r>
    </w:p>
    <w:p w:rsidR="003140F4" w:rsidRDefault="00AE0087" w:rsidP="00533446">
      <w:pPr>
        <w:spacing w:before="240"/>
        <w:ind w:firstLine="426"/>
        <w:jc w:val="both"/>
      </w:pPr>
      <w:r>
        <w:t xml:space="preserve">Do celkovej sumy dlhu </w:t>
      </w:r>
      <w:r w:rsidR="00512F0A">
        <w:t>m</w:t>
      </w:r>
      <w:r w:rsidR="0011400E">
        <w:t>esta</w:t>
      </w:r>
      <w:r>
        <w:t xml:space="preserve"> sa </w:t>
      </w:r>
      <w:r w:rsidR="000C7E92">
        <w:t xml:space="preserve">nezapočítava dlh z prijatia návratných zdrojov </w:t>
      </w:r>
      <w:r w:rsidR="001B358D">
        <w:t>financovania</w:t>
      </w:r>
      <w:r w:rsidR="000C7E92">
        <w:t xml:space="preserve"> z</w:t>
      </w:r>
      <w:r w:rsidR="00FF7E60">
        <w:t> vládnych podporných programov, Euro fondov</w:t>
      </w:r>
      <w:r w:rsidR="00BB2493">
        <w:t>. D</w:t>
      </w:r>
      <w:r w:rsidR="001B358D">
        <w:t>o sumy ročných splátok návratných zdrojov financovania sa nezapočítava suma jednorazového predčasného splatenia návratných zdrojov financovania</w:t>
      </w:r>
      <w:r w:rsidR="001B358D">
        <w:rPr>
          <w:rStyle w:val="Odkaznapoznmkupodiarou"/>
        </w:rPr>
        <w:footnoteReference w:id="1"/>
      </w:r>
      <w:r w:rsidR="001B358D">
        <w:t xml:space="preserve">. </w:t>
      </w:r>
    </w:p>
    <w:p w:rsidR="00AE0087" w:rsidRDefault="00E60F86" w:rsidP="00533446">
      <w:pPr>
        <w:spacing w:before="240"/>
        <w:ind w:firstLine="426"/>
        <w:jc w:val="both"/>
      </w:pPr>
      <w:r>
        <w:t xml:space="preserve">V tomto roku MZ v Košiciach schválilo dňa 27.04.2010 uznesenie č. 1109 na zabezpečenie úverových prostriedkov určených na financovanie projektov podporovaných z fondov </w:t>
      </w:r>
      <w:r w:rsidR="00A5724D">
        <w:t>Európskej</w:t>
      </w:r>
      <w:r>
        <w:t xml:space="preserve"> únie</w:t>
      </w:r>
      <w:r w:rsidR="00A5724D">
        <w:t xml:space="preserve"> a štátneho rozpočtu Slovenskej republike</w:t>
      </w:r>
      <w:r>
        <w:t>, ktoré sa</w:t>
      </w:r>
      <w:r w:rsidR="00A5724D">
        <w:t xml:space="preserve"> v súčasnosti napĺňa</w:t>
      </w:r>
      <w:r w:rsidR="003140F4">
        <w:t xml:space="preserve"> podľa investičného programu.</w:t>
      </w:r>
      <w:r w:rsidR="00E51BA0">
        <w:t xml:space="preserve"> Z uvedeného dôvodu sa opätovne vyjadrujem k dlhovej službe.</w:t>
      </w:r>
    </w:p>
    <w:p w:rsidR="008F6CAD" w:rsidRPr="00142AF0" w:rsidRDefault="00E532FC" w:rsidP="00533446">
      <w:pPr>
        <w:pStyle w:val="Nadpis1"/>
        <w:spacing w:before="360"/>
      </w:pPr>
      <w:r>
        <w:t>Čistý</w:t>
      </w:r>
      <w:r w:rsidR="00022BEF" w:rsidRPr="00142AF0">
        <w:t xml:space="preserve"> dlh</w:t>
      </w:r>
      <w:r w:rsidR="00AE0087" w:rsidRPr="00142AF0">
        <w:t xml:space="preserve"> a splátková rezerva</w:t>
      </w:r>
      <w:r w:rsidR="004468B0">
        <w:t xml:space="preserve"> (</w:t>
      </w:r>
      <w:r w:rsidR="00284EB5">
        <w:t>30.9</w:t>
      </w:r>
      <w:r w:rsidR="00AE0087" w:rsidRPr="00142AF0">
        <w:t>.2010</w:t>
      </w:r>
      <w:r w:rsidR="004468B0">
        <w:t>)</w:t>
      </w:r>
      <w:r w:rsidR="001B358D" w:rsidRPr="0011400E">
        <w:rPr>
          <w:rStyle w:val="Odkaznapoznmkupodiarou"/>
        </w:rPr>
        <w:footnoteReference w:id="2"/>
      </w:r>
    </w:p>
    <w:p w:rsidR="00187D8B" w:rsidRDefault="008F6CAD" w:rsidP="00C963BA">
      <w:pPr>
        <w:pStyle w:val="Odsekzoznamu"/>
        <w:numPr>
          <w:ilvl w:val="0"/>
          <w:numId w:val="13"/>
        </w:numPr>
        <w:spacing w:before="360" w:line="360" w:lineRule="auto"/>
        <w:ind w:left="720"/>
        <w:jc w:val="both"/>
      </w:pPr>
      <w:r>
        <w:t xml:space="preserve">Ukazovateľ </w:t>
      </w:r>
      <w:r w:rsidR="00E532FC">
        <w:t>čistého</w:t>
      </w:r>
      <w:r>
        <w:t xml:space="preserve"> dlhu </w:t>
      </w:r>
      <w:r w:rsidR="00284EB5">
        <w:t>k 30.09</w:t>
      </w:r>
      <w:r w:rsidR="004468B0">
        <w:t xml:space="preserve">.2010 </w:t>
      </w:r>
      <w:r>
        <w:t xml:space="preserve">dosiahol hodnotu </w:t>
      </w:r>
      <w:r w:rsidR="00284EB5">
        <w:t>32,13</w:t>
      </w:r>
      <w:r w:rsidR="000E1A43">
        <w:t xml:space="preserve"> %</w:t>
      </w:r>
      <w:r w:rsidR="00022BEF">
        <w:t xml:space="preserve">. </w:t>
      </w:r>
    </w:p>
    <w:p w:rsidR="006E34CC" w:rsidRDefault="004468B0" w:rsidP="0011400E">
      <w:pPr>
        <w:pStyle w:val="Odsekzoznamu"/>
        <w:numPr>
          <w:ilvl w:val="0"/>
          <w:numId w:val="13"/>
        </w:numPr>
        <w:spacing w:line="360" w:lineRule="auto"/>
        <w:ind w:left="720"/>
        <w:jc w:val="both"/>
      </w:pPr>
      <w:r>
        <w:t>Úverová rezerva k 30.0</w:t>
      </w:r>
      <w:r w:rsidR="00284EB5">
        <w:t>9</w:t>
      </w:r>
      <w:r>
        <w:t xml:space="preserve">.2010 predstavuje </w:t>
      </w:r>
      <w:r w:rsidR="0051384A">
        <w:t xml:space="preserve">sumu </w:t>
      </w:r>
      <w:r w:rsidR="006E34CC">
        <w:t>33</w:t>
      </w:r>
      <w:r w:rsidR="00284EB5">
        <w:t> 094 760,01</w:t>
      </w:r>
      <w:r w:rsidR="00A35BB3">
        <w:t xml:space="preserve"> €</w:t>
      </w:r>
      <w:r w:rsidR="006E34CC">
        <w:t>.</w:t>
      </w:r>
    </w:p>
    <w:p w:rsidR="004E48D6" w:rsidRDefault="0051384A" w:rsidP="0011400E">
      <w:pPr>
        <w:pStyle w:val="Odsekzoznamu"/>
        <w:numPr>
          <w:ilvl w:val="0"/>
          <w:numId w:val="13"/>
        </w:numPr>
        <w:spacing w:line="360" w:lineRule="auto"/>
        <w:ind w:left="720"/>
        <w:jc w:val="both"/>
      </w:pPr>
      <w:r>
        <w:t>Ukazovateľ splátkovej rezervy k 30.0</w:t>
      </w:r>
      <w:r w:rsidR="00284EB5">
        <w:t>9</w:t>
      </w:r>
      <w:r>
        <w:t xml:space="preserve">.2010 </w:t>
      </w:r>
      <w:r w:rsidR="004E48D6">
        <w:t xml:space="preserve">dosiahol hodnotu </w:t>
      </w:r>
      <w:r w:rsidR="00284EB5">
        <w:t xml:space="preserve">13 </w:t>
      </w:r>
      <w:r w:rsidR="004E48D6">
        <w:t>%.</w:t>
      </w:r>
    </w:p>
    <w:p w:rsidR="0011400E" w:rsidRPr="0011400E" w:rsidRDefault="00284EB5" w:rsidP="0011400E">
      <w:pPr>
        <w:pStyle w:val="Odsekzoznamu"/>
        <w:numPr>
          <w:ilvl w:val="0"/>
          <w:numId w:val="13"/>
        </w:numPr>
        <w:spacing w:line="360" w:lineRule="auto"/>
        <w:ind w:left="720"/>
        <w:jc w:val="both"/>
        <w:rPr>
          <w:i/>
        </w:rPr>
      </w:pPr>
      <w:r>
        <w:t>Splátková rezerva k 30.09</w:t>
      </w:r>
      <w:r w:rsidR="0051384A">
        <w:t>.2010 predstavuje sumu 14</w:t>
      </w:r>
      <w:r>
        <w:t> 250 109,18</w:t>
      </w:r>
      <w:r w:rsidR="000E1A43">
        <w:t xml:space="preserve"> €</w:t>
      </w:r>
      <w:r w:rsidR="0051384A">
        <w:t>.</w:t>
      </w:r>
    </w:p>
    <w:p w:rsidR="008F6CAD" w:rsidRPr="0011400E" w:rsidRDefault="00E0748A" w:rsidP="006C1F90">
      <w:pPr>
        <w:pStyle w:val="Odsekzoznamu"/>
        <w:numPr>
          <w:ilvl w:val="0"/>
          <w:numId w:val="14"/>
        </w:numPr>
        <w:spacing w:before="120" w:after="240" w:line="276" w:lineRule="auto"/>
        <w:ind w:left="709" w:hanging="283"/>
        <w:jc w:val="both"/>
        <w:rPr>
          <w:i/>
        </w:rPr>
      </w:pPr>
      <w:r w:rsidRPr="0011400E">
        <w:rPr>
          <w:i/>
        </w:rPr>
        <w:t xml:space="preserve">Výpočet </w:t>
      </w:r>
      <w:r w:rsidR="00142AF0" w:rsidRPr="0011400E">
        <w:rPr>
          <w:i/>
        </w:rPr>
        <w:t xml:space="preserve">ukazovateľa </w:t>
      </w:r>
      <w:r w:rsidR="00E532FC" w:rsidRPr="0011400E">
        <w:rPr>
          <w:i/>
        </w:rPr>
        <w:t>čistého</w:t>
      </w:r>
      <w:r w:rsidR="00284EB5">
        <w:rPr>
          <w:i/>
        </w:rPr>
        <w:t xml:space="preserve"> dlhu k 30.09</w:t>
      </w:r>
      <w:r w:rsidRPr="0011400E">
        <w:rPr>
          <w:i/>
        </w:rPr>
        <w:t>.2010</w:t>
      </w:r>
      <w:r w:rsidR="001B358D" w:rsidRPr="0011400E">
        <w:rPr>
          <w:i/>
        </w:rPr>
        <w:t>:</w:t>
      </w:r>
    </w:p>
    <w:p w:rsidR="001B358D" w:rsidRPr="00142AF0" w:rsidRDefault="00BC44CC" w:rsidP="001D2B68">
      <w:pPr>
        <w:pStyle w:val="Odsekzoznamu"/>
        <w:numPr>
          <w:ilvl w:val="0"/>
          <w:numId w:val="11"/>
        </w:numPr>
        <w:tabs>
          <w:tab w:val="left" w:pos="5245"/>
        </w:tabs>
        <w:spacing w:before="120"/>
        <w:ind w:left="1069" w:right="-1"/>
        <w:jc w:val="both"/>
      </w:pPr>
      <w:r w:rsidRPr="00142AF0">
        <w:t>skutočné bežné príjmy k 31.12.2009</w:t>
      </w:r>
      <w:r w:rsidR="004468B0">
        <w:rPr>
          <w:rStyle w:val="Odkaznapoznmkupodiarou"/>
        </w:rPr>
        <w:footnoteReference w:id="3"/>
      </w:r>
      <w:r w:rsidR="00F22751">
        <w:tab/>
      </w:r>
      <w:r w:rsidR="00F22751">
        <w:tab/>
      </w:r>
      <w:r w:rsidR="004E48D6">
        <w:tab/>
      </w:r>
      <w:r w:rsidR="004E48D6">
        <w:tab/>
      </w:r>
      <w:r w:rsidR="00473B2C">
        <w:tab/>
      </w:r>
      <w:r w:rsidR="00F22751">
        <w:t xml:space="preserve">   </w:t>
      </w:r>
      <w:r w:rsidRPr="00142AF0">
        <w:t>118 767 181</w:t>
      </w:r>
      <w:r w:rsidR="00795EB2">
        <w:rPr>
          <w:rStyle w:val="Odkaznapoznmkupodiarou"/>
        </w:rPr>
        <w:footnoteReference w:id="4"/>
      </w:r>
      <w:r w:rsidRPr="00142AF0">
        <w:t xml:space="preserve"> €</w:t>
      </w:r>
    </w:p>
    <w:p w:rsidR="00275505" w:rsidRPr="00142AF0" w:rsidRDefault="00284EB5" w:rsidP="006C1F90">
      <w:pPr>
        <w:pStyle w:val="Odsekzoznamu"/>
        <w:numPr>
          <w:ilvl w:val="0"/>
          <w:numId w:val="11"/>
        </w:numPr>
        <w:pBdr>
          <w:bottom w:val="single" w:sz="4" w:space="1" w:color="auto"/>
        </w:pBdr>
        <w:tabs>
          <w:tab w:val="left" w:pos="8080"/>
        </w:tabs>
        <w:spacing w:before="120" w:after="240"/>
        <w:ind w:left="1069"/>
        <w:jc w:val="both"/>
      </w:pPr>
      <w:r>
        <w:t>zadlženosť k 30.09</w:t>
      </w:r>
      <w:r w:rsidR="00BC44CC" w:rsidRPr="00142AF0">
        <w:t>.</w:t>
      </w:r>
      <w:r w:rsidR="00275505" w:rsidRPr="00142AF0">
        <w:t>20</w:t>
      </w:r>
      <w:r w:rsidR="00F22751">
        <w:t>10</w:t>
      </w:r>
      <w:r w:rsidR="00F22751">
        <w:tab/>
      </w:r>
      <w:r>
        <w:t xml:space="preserve">38 165 549  </w:t>
      </w:r>
      <w:r w:rsidR="00BC44CC" w:rsidRPr="00142AF0">
        <w:t xml:space="preserve"> </w:t>
      </w:r>
      <w:r w:rsidR="00187D8B" w:rsidRPr="00142AF0">
        <w:t>€</w:t>
      </w:r>
    </w:p>
    <w:p w:rsidR="006C565D" w:rsidRDefault="006C565D" w:rsidP="00CC3C0C">
      <w:pPr>
        <w:spacing w:after="100" w:afterAutospacing="1"/>
        <w:ind w:left="1134"/>
        <w:jc w:val="both"/>
      </w:pPr>
      <w:r>
        <w:t>60 % = 118 767 181 x 0,6 = 71 260 309 €</w:t>
      </w:r>
    </w:p>
    <w:p w:rsidR="00187D8B" w:rsidRDefault="00077A79" w:rsidP="00CC3C0C">
      <w:pPr>
        <w:spacing w:before="360" w:after="240"/>
        <w:ind w:left="1134"/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38 165 549 €</m:t>
              </m:r>
            </m:num>
            <m:den>
              <m:r>
                <w:rPr>
                  <w:rFonts w:ascii="Cambria Math" w:hAnsi="Cambria Math"/>
                </w:rPr>
                <m:t>118 767 181€</m:t>
              </m:r>
            </m:den>
          </m:f>
          <m:r>
            <w:rPr>
              <w:rFonts w:ascii="Cambria Math" w:hAnsi="Cambria Math"/>
            </w:rPr>
            <m:t>x100=</m:t>
          </m:r>
          <m:r>
            <m:rPr>
              <m:sty m:val="bi"/>
            </m:rPr>
            <w:rPr>
              <w:rFonts w:ascii="Cambria Math" w:hAnsi="Cambria Math"/>
            </w:rPr>
            <m:t>32,13 %</m:t>
          </m:r>
          <m:r>
            <w:rPr>
              <w:rFonts w:ascii="Cambria Math" w:hAnsi="Cambria Math"/>
            </w:rPr>
            <m:t xml:space="preserve"> &lt;60 %</m:t>
          </m:r>
        </m:oMath>
      </m:oMathPara>
    </w:p>
    <w:p w:rsidR="006C565D" w:rsidRPr="00275505" w:rsidRDefault="006C565D" w:rsidP="00CC3C0C">
      <w:pPr>
        <w:spacing w:before="240" w:after="600"/>
        <w:ind w:left="1134"/>
        <w:jc w:val="both"/>
      </w:pPr>
      <w:r>
        <w:t xml:space="preserve">71 260 309 € - 38 165 549 € = </w:t>
      </w:r>
      <w:r w:rsidRPr="00C26A49">
        <w:rPr>
          <w:b/>
        </w:rPr>
        <w:t>33</w:t>
      </w:r>
      <w:r w:rsidR="00C26A49" w:rsidRPr="00C26A49">
        <w:rPr>
          <w:b/>
        </w:rPr>
        <w:t> 094 760 €</w:t>
      </w:r>
      <w:r>
        <w:t xml:space="preserve"> </w:t>
      </w:r>
    </w:p>
    <w:p w:rsidR="00142AF0" w:rsidRDefault="00142AF0" w:rsidP="00167E9D">
      <w:pPr>
        <w:pStyle w:val="Odsekzoznamu"/>
        <w:numPr>
          <w:ilvl w:val="0"/>
          <w:numId w:val="14"/>
        </w:numPr>
        <w:spacing w:before="360" w:after="240"/>
        <w:ind w:left="709" w:hanging="283"/>
        <w:jc w:val="both"/>
        <w:rPr>
          <w:i/>
        </w:rPr>
      </w:pPr>
      <w:r w:rsidRPr="001A5B80">
        <w:rPr>
          <w:i/>
        </w:rPr>
        <w:lastRenderedPageBreak/>
        <w:t>Vý</w:t>
      </w:r>
      <w:r w:rsidR="00284EB5">
        <w:rPr>
          <w:i/>
        </w:rPr>
        <w:t>počet splátkovej rezervy k 30.09</w:t>
      </w:r>
      <w:r w:rsidRPr="001A5B80">
        <w:rPr>
          <w:i/>
        </w:rPr>
        <w:t>.2010</w:t>
      </w:r>
      <w:r w:rsidR="00FF7E60" w:rsidRPr="001A5B80">
        <w:rPr>
          <w:i/>
        </w:rPr>
        <w:t xml:space="preserve"> (istina + odhad úrokov)</w:t>
      </w:r>
      <w:r w:rsidRPr="001A5B80">
        <w:rPr>
          <w:i/>
        </w:rPr>
        <w:t>:</w:t>
      </w:r>
    </w:p>
    <w:p w:rsidR="004468B0" w:rsidRPr="004468B0" w:rsidRDefault="004468B0" w:rsidP="001D2B68">
      <w:pPr>
        <w:pStyle w:val="Odsekzoznamu"/>
        <w:numPr>
          <w:ilvl w:val="0"/>
          <w:numId w:val="11"/>
        </w:numPr>
        <w:tabs>
          <w:tab w:val="left" w:pos="5245"/>
        </w:tabs>
        <w:spacing w:before="120"/>
        <w:ind w:left="1069"/>
        <w:jc w:val="both"/>
      </w:pPr>
      <w:r>
        <w:t xml:space="preserve">splátka istiny </w:t>
      </w:r>
      <w:r>
        <w:tab/>
      </w:r>
      <w:r>
        <w:tab/>
      </w:r>
      <w:r w:rsidRPr="004468B0">
        <w:tab/>
      </w:r>
      <w:r w:rsidRPr="004468B0">
        <w:tab/>
      </w:r>
      <w:r w:rsidR="00C963BA">
        <w:t xml:space="preserve">   </w:t>
      </w:r>
      <w:r w:rsidRPr="004468B0">
        <w:tab/>
      </w:r>
      <w:r w:rsidR="00B97F4E">
        <w:t xml:space="preserve">  </w:t>
      </w:r>
      <w:r w:rsidR="00C963BA">
        <w:t xml:space="preserve"> </w:t>
      </w:r>
      <w:r w:rsidR="00B97F4E">
        <w:t xml:space="preserve">  </w:t>
      </w:r>
      <w:r w:rsidRPr="004468B0">
        <w:t>14 852 614 €</w:t>
      </w:r>
    </w:p>
    <w:p w:rsidR="004468B0" w:rsidRPr="004468B0" w:rsidRDefault="004468B0" w:rsidP="00B97F4E">
      <w:pPr>
        <w:pStyle w:val="Odsekzoznamu"/>
        <w:numPr>
          <w:ilvl w:val="0"/>
          <w:numId w:val="11"/>
        </w:numPr>
        <w:pBdr>
          <w:bottom w:val="single" w:sz="4" w:space="1" w:color="auto"/>
        </w:pBdr>
        <w:tabs>
          <w:tab w:val="left" w:pos="8080"/>
        </w:tabs>
        <w:spacing w:before="120" w:after="360"/>
        <w:ind w:left="1069"/>
        <w:jc w:val="both"/>
      </w:pPr>
      <w:r w:rsidRPr="004468B0">
        <w:t>splát</w:t>
      </w:r>
      <w:r>
        <w:t>ka úrokov (odhad)</w:t>
      </w:r>
      <w:r>
        <w:tab/>
      </w:r>
      <w:r w:rsidR="00B97F4E">
        <w:t xml:space="preserve">     </w:t>
      </w:r>
      <w:r w:rsidR="00284EB5">
        <w:t>589 072</w:t>
      </w:r>
      <w:r w:rsidRPr="004468B0">
        <w:t xml:space="preserve"> €</w:t>
      </w:r>
    </w:p>
    <w:p w:rsidR="001A5B80" w:rsidRPr="001A5B80" w:rsidRDefault="006C565D" w:rsidP="00A5724D">
      <w:pPr>
        <w:pStyle w:val="Odsekzoznamu"/>
        <w:spacing w:before="240"/>
        <w:ind w:left="1134"/>
        <w:jc w:val="both"/>
      </w:pPr>
      <w:r>
        <w:t>25 % = 118 767 181 x 0,25 = 29 691 795 €</w:t>
      </w:r>
    </w:p>
    <w:p w:rsidR="00142AF0" w:rsidRDefault="00077A79" w:rsidP="0011400E">
      <w:pPr>
        <w:pStyle w:val="Odsekzoznamu"/>
        <w:spacing w:before="360" w:after="240"/>
        <w:ind w:left="1134"/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14 852 614 €+589 072 €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118 767 181 €</m:t>
              </m:r>
            </m:den>
          </m:f>
          <m:r>
            <w:rPr>
              <w:rFonts w:ascii="Cambria Math" w:hAnsi="Cambria Math"/>
            </w:rPr>
            <m:t>x 100=</m:t>
          </m:r>
          <m:r>
            <m:rPr>
              <m:sty m:val="bi"/>
            </m:rPr>
            <w:rPr>
              <w:rFonts w:ascii="Cambria Math" w:hAnsi="Cambria Math"/>
            </w:rPr>
            <m:t>13 %</m:t>
          </m:r>
          <m:r>
            <w:rPr>
              <w:rFonts w:ascii="Cambria Math" w:hAnsi="Cambria Math"/>
            </w:rPr>
            <m:t xml:space="preserve">  &lt;25 %</m:t>
          </m:r>
        </m:oMath>
      </m:oMathPara>
    </w:p>
    <w:p w:rsidR="00F67D55" w:rsidRDefault="006C565D" w:rsidP="00A5724D">
      <w:pPr>
        <w:pStyle w:val="Odsekzoznamu"/>
        <w:spacing w:before="480" w:after="240"/>
        <w:ind w:left="1134"/>
        <w:jc w:val="both"/>
      </w:pPr>
      <w:r>
        <w:t>29 691 795 € - 15</w:t>
      </w:r>
      <w:r w:rsidR="00C26A49">
        <w:t> 441 686</w:t>
      </w:r>
      <w:r>
        <w:t xml:space="preserve"> € = </w:t>
      </w:r>
      <w:r w:rsidRPr="006C565D">
        <w:rPr>
          <w:b/>
        </w:rPr>
        <w:t>14 250 109, 18 €</w:t>
      </w:r>
    </w:p>
    <w:p w:rsidR="00022BEF" w:rsidRPr="00B25587" w:rsidRDefault="00E532FC" w:rsidP="00CC3C0C">
      <w:pPr>
        <w:pStyle w:val="Nadpis1"/>
        <w:spacing w:before="720" w:after="360"/>
      </w:pPr>
      <w:r>
        <w:t>Hrubý</w:t>
      </w:r>
      <w:r w:rsidR="00022BEF" w:rsidRPr="00B25587">
        <w:t xml:space="preserve"> dlh </w:t>
      </w:r>
      <w:r w:rsidR="00AE0087" w:rsidRPr="00B25587">
        <w:t xml:space="preserve">a splátková rezerva </w:t>
      </w:r>
      <w:r w:rsidR="00501E03">
        <w:t>(</w:t>
      </w:r>
      <w:r w:rsidR="00284EB5">
        <w:t>30.09</w:t>
      </w:r>
      <w:r w:rsidR="00022BEF" w:rsidRPr="00B25587">
        <w:t>.2010</w:t>
      </w:r>
      <w:r w:rsidR="00501E03">
        <w:t>)</w:t>
      </w:r>
    </w:p>
    <w:p w:rsidR="001A5B80" w:rsidRDefault="001A5B80" w:rsidP="00533446">
      <w:pPr>
        <w:spacing w:before="240"/>
        <w:ind w:firstLine="426"/>
        <w:jc w:val="both"/>
      </w:pPr>
      <w:r>
        <w:t xml:space="preserve">Do výpočtu </w:t>
      </w:r>
      <w:r w:rsidR="00E532FC">
        <w:t>hrubé</w:t>
      </w:r>
      <w:r w:rsidR="00D56A02">
        <w:t xml:space="preserve">ho dlhu </w:t>
      </w:r>
      <w:r>
        <w:t>som zahrnula všetky uzavreté úverové zmluvy</w:t>
      </w:r>
      <w:r w:rsidR="000E1A43">
        <w:t xml:space="preserve"> aj tie</w:t>
      </w:r>
      <w:r>
        <w:t>,</w:t>
      </w:r>
      <w:r w:rsidR="000E1A43">
        <w:t xml:space="preserve"> ktoré majú byť </w:t>
      </w:r>
      <w:r w:rsidR="001F581F">
        <w:t xml:space="preserve">pre - </w:t>
      </w:r>
      <w:r w:rsidR="000E1A43">
        <w:t>pre</w:t>
      </w:r>
      <w:r w:rsidR="001F581F">
        <w:t>d</w:t>
      </w:r>
      <w:r w:rsidR="000E1A43">
        <w:t>financované z fondov.</w:t>
      </w:r>
      <w:r>
        <w:t xml:space="preserve"> </w:t>
      </w:r>
      <w:r w:rsidR="000E1A43">
        <w:t>P</w:t>
      </w:r>
      <w:r>
        <w:t xml:space="preserve">okladám za dôležité sledovať </w:t>
      </w:r>
      <w:r w:rsidR="00D56A02">
        <w:t xml:space="preserve">aj </w:t>
      </w:r>
      <w:r>
        <w:t>celkový vývoj dlhovej služby. Je to nástroj</w:t>
      </w:r>
      <w:r w:rsidR="00450CA6">
        <w:t>,</w:t>
      </w:r>
      <w:r>
        <w:t xml:space="preserve"> ako  vhodne   </w:t>
      </w:r>
      <w:r w:rsidR="000E1A43">
        <w:t>realizovať</w:t>
      </w:r>
      <w:r>
        <w:t xml:space="preserve"> investičný rozvoj </w:t>
      </w:r>
      <w:r w:rsidR="0011400E">
        <w:t>Mesta</w:t>
      </w:r>
      <w:r>
        <w:t xml:space="preserve"> Košice na ďalšie rozpočtové roky a tým sa vyhnúť rizikám, ktoré sa môžu v budúcnosti vyskytnúť. </w:t>
      </w:r>
    </w:p>
    <w:p w:rsidR="00B25587" w:rsidRDefault="00E532FC" w:rsidP="00CC3C0C">
      <w:pPr>
        <w:pStyle w:val="Odsekzoznamu"/>
        <w:numPr>
          <w:ilvl w:val="0"/>
          <w:numId w:val="16"/>
        </w:numPr>
        <w:spacing w:before="480" w:line="360" w:lineRule="auto"/>
        <w:jc w:val="both"/>
      </w:pPr>
      <w:r>
        <w:t>Ukazovateľ hrubého</w:t>
      </w:r>
      <w:r w:rsidR="00B25587">
        <w:t xml:space="preserve"> dlhu k</w:t>
      </w:r>
      <w:r w:rsidR="007E13B0">
        <w:t> 30.09</w:t>
      </w:r>
      <w:r w:rsidR="005A588B">
        <w:t>.201</w:t>
      </w:r>
      <w:r w:rsidR="00512F0A">
        <w:t>0</w:t>
      </w:r>
      <w:r w:rsidR="00B25587">
        <w:t xml:space="preserve"> dosiahol hodnotu </w:t>
      </w:r>
      <w:r w:rsidR="007E13B0">
        <w:t>40,78</w:t>
      </w:r>
      <w:r w:rsidR="005A588B">
        <w:t xml:space="preserve"> %</w:t>
      </w:r>
      <w:r w:rsidR="00B25587">
        <w:t xml:space="preserve">. </w:t>
      </w:r>
    </w:p>
    <w:p w:rsidR="00B25587" w:rsidRDefault="007E13B0" w:rsidP="0011400E">
      <w:pPr>
        <w:pStyle w:val="Odsekzoznamu"/>
        <w:numPr>
          <w:ilvl w:val="0"/>
          <w:numId w:val="16"/>
        </w:numPr>
        <w:spacing w:line="360" w:lineRule="auto"/>
        <w:jc w:val="both"/>
      </w:pPr>
      <w:r>
        <w:t>Úverová rezerva k 30. 09</w:t>
      </w:r>
      <w:r w:rsidR="00B25587">
        <w:t xml:space="preserve">. 2010 dosiahla hodnotu </w:t>
      </w:r>
      <w:r>
        <w:t>22 823 598,07</w:t>
      </w:r>
      <w:r w:rsidR="004E48D6">
        <w:t xml:space="preserve"> </w:t>
      </w:r>
      <w:r w:rsidR="00B25587">
        <w:t>€.</w:t>
      </w:r>
    </w:p>
    <w:p w:rsidR="00B97F4E" w:rsidRDefault="005A588B" w:rsidP="00B97F4E">
      <w:pPr>
        <w:pStyle w:val="Odsekzoznamu"/>
        <w:numPr>
          <w:ilvl w:val="0"/>
          <w:numId w:val="16"/>
        </w:numPr>
        <w:spacing w:line="360" w:lineRule="auto"/>
        <w:jc w:val="both"/>
      </w:pPr>
      <w:r>
        <w:t xml:space="preserve">Splátková rezerva je zhodná </w:t>
      </w:r>
      <w:r w:rsidR="00450CA6">
        <w:t>s výpočtom</w:t>
      </w:r>
      <w:r w:rsidR="00795EB2">
        <w:t xml:space="preserve"> </w:t>
      </w:r>
      <w:r w:rsidR="00E532FC">
        <w:t xml:space="preserve">pri čistom </w:t>
      </w:r>
      <w:r>
        <w:t xml:space="preserve">dlhu, nakoľko do splátky istín a úrokov boli započítané aj splátky, ktoré budú </w:t>
      </w:r>
      <w:r w:rsidR="00E532FC">
        <w:t xml:space="preserve">pred a </w:t>
      </w:r>
      <w:r>
        <w:t xml:space="preserve">prefinancované z fondov v neskoršom období. Je potrebné mať rezervu na preklenutie tohto obdobia. </w:t>
      </w:r>
    </w:p>
    <w:p w:rsidR="00B25587" w:rsidRPr="001C726E" w:rsidRDefault="00B25587" w:rsidP="00A5724D">
      <w:pPr>
        <w:pStyle w:val="Odsekzoznamu"/>
        <w:numPr>
          <w:ilvl w:val="0"/>
          <w:numId w:val="14"/>
        </w:numPr>
        <w:spacing w:before="360"/>
        <w:ind w:left="709" w:hanging="283"/>
        <w:jc w:val="both"/>
        <w:rPr>
          <w:i/>
        </w:rPr>
      </w:pPr>
      <w:r w:rsidRPr="001C726E">
        <w:rPr>
          <w:i/>
        </w:rPr>
        <w:t xml:space="preserve">Výpočet ukazovateľa </w:t>
      </w:r>
      <w:r w:rsidR="00E532FC">
        <w:rPr>
          <w:i/>
        </w:rPr>
        <w:t>hrubé</w:t>
      </w:r>
      <w:r w:rsidR="007E13B0">
        <w:rPr>
          <w:i/>
        </w:rPr>
        <w:t>ho dlhu k 30.09</w:t>
      </w:r>
      <w:r w:rsidRPr="001C726E">
        <w:rPr>
          <w:i/>
        </w:rPr>
        <w:t>.2010:</w:t>
      </w:r>
    </w:p>
    <w:p w:rsidR="00B25587" w:rsidRPr="00142AF0" w:rsidRDefault="00B25587" w:rsidP="001C726E">
      <w:pPr>
        <w:pStyle w:val="Odsekzoznamu"/>
        <w:numPr>
          <w:ilvl w:val="0"/>
          <w:numId w:val="11"/>
        </w:numPr>
        <w:tabs>
          <w:tab w:val="left" w:pos="5245"/>
        </w:tabs>
        <w:spacing w:before="120"/>
        <w:jc w:val="both"/>
      </w:pPr>
      <w:r w:rsidRPr="00142AF0">
        <w:t>skutočné bežné príjmy k 31.12.2009</w:t>
      </w:r>
      <w:r w:rsidRPr="00142AF0">
        <w:tab/>
      </w:r>
      <w:r w:rsidRPr="00142AF0">
        <w:tab/>
      </w:r>
      <w:r w:rsidR="004E48D6">
        <w:tab/>
      </w:r>
      <w:r w:rsidR="004E48D6">
        <w:tab/>
      </w:r>
      <w:r w:rsidR="004E48D6">
        <w:tab/>
      </w:r>
      <w:r w:rsidRPr="00142AF0">
        <w:t>118 767 181 €</w:t>
      </w:r>
    </w:p>
    <w:p w:rsidR="00B25587" w:rsidRPr="00142AF0" w:rsidRDefault="00B25587" w:rsidP="001D2B68">
      <w:pPr>
        <w:pStyle w:val="Odsekzoznamu"/>
        <w:numPr>
          <w:ilvl w:val="0"/>
          <w:numId w:val="11"/>
        </w:numPr>
        <w:pBdr>
          <w:bottom w:val="single" w:sz="4" w:space="1" w:color="auto"/>
        </w:pBdr>
        <w:tabs>
          <w:tab w:val="left" w:pos="5812"/>
        </w:tabs>
        <w:spacing w:before="120" w:after="120"/>
        <w:ind w:left="1066" w:right="282" w:hanging="357"/>
        <w:jc w:val="both"/>
      </w:pPr>
      <w:r w:rsidRPr="00142AF0">
        <w:t>zadlženosť k 30.0</w:t>
      </w:r>
      <w:r w:rsidR="003140F4">
        <w:t>9</w:t>
      </w:r>
      <w:r w:rsidRPr="00142AF0">
        <w:t>.2010</w:t>
      </w:r>
      <w:r w:rsidRPr="00142AF0">
        <w:tab/>
      </w:r>
      <w:r w:rsidR="00E3041F">
        <w:tab/>
      </w:r>
      <w:r w:rsidR="00E3041F">
        <w:tab/>
      </w:r>
      <w:r w:rsidR="00E3041F">
        <w:tab/>
        <w:t xml:space="preserve">  </w:t>
      </w:r>
      <w:r w:rsidR="007E13B0">
        <w:t>48 436 711</w:t>
      </w:r>
      <w:r w:rsidRPr="00142AF0">
        <w:t xml:space="preserve"> €</w:t>
      </w:r>
    </w:p>
    <w:p w:rsidR="00BB2493" w:rsidRPr="00BB2493" w:rsidRDefault="00895A2C" w:rsidP="00A5724D">
      <w:pPr>
        <w:spacing w:before="600"/>
        <w:ind w:left="1219" w:right="-2"/>
        <w:jc w:val="both"/>
      </w:pPr>
      <w:r>
        <w:t>60 % = 118 767 181 x 0,6 = 71 260 309 €</w:t>
      </w:r>
    </w:p>
    <w:p w:rsidR="00B25587" w:rsidRPr="00275505" w:rsidRDefault="00077A79" w:rsidP="00B97F4E">
      <w:pPr>
        <w:spacing w:before="360" w:after="240"/>
        <w:ind w:left="1219" w:right="-2" w:hanging="142"/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48 436 711 €</m:t>
              </m:r>
            </m:num>
            <m:den>
              <m:r>
                <w:rPr>
                  <w:rFonts w:ascii="Cambria Math" w:hAnsi="Cambria Math"/>
                </w:rPr>
                <m:t>118 767 181€</m:t>
              </m:r>
            </m:den>
          </m:f>
          <m:r>
            <w:rPr>
              <w:rFonts w:ascii="Cambria Math" w:hAnsi="Cambria Math"/>
            </w:rPr>
            <m:t>x100=</m:t>
          </m:r>
          <m:r>
            <m:rPr>
              <m:sty m:val="bi"/>
            </m:rPr>
            <w:rPr>
              <w:rFonts w:ascii="Cambria Math" w:hAnsi="Cambria Math"/>
            </w:rPr>
            <m:t>40,78 %</m:t>
          </m:r>
          <m:r>
            <w:rPr>
              <w:rFonts w:ascii="Cambria Math" w:hAnsi="Cambria Math"/>
            </w:rPr>
            <m:t xml:space="preserve">  &lt;60 %</m:t>
          </m:r>
        </m:oMath>
      </m:oMathPara>
    </w:p>
    <w:p w:rsidR="00B25587" w:rsidRPr="00895A2C" w:rsidRDefault="00895A2C" w:rsidP="00A5724D">
      <w:pPr>
        <w:spacing w:before="480" w:after="240"/>
        <w:ind w:left="1219"/>
        <w:jc w:val="both"/>
      </w:pPr>
      <w:r>
        <w:t>71 260 309 € - 48 436 711 € = 22 823 598, 07 €</w:t>
      </w:r>
    </w:p>
    <w:p w:rsidR="00895A2C" w:rsidRPr="00895A2C" w:rsidRDefault="001C726E" w:rsidP="00895A2C">
      <w:pPr>
        <w:pStyle w:val="Nadpis1"/>
        <w:spacing w:before="720"/>
        <w:rPr>
          <w:b w:val="0"/>
        </w:rPr>
      </w:pPr>
      <w:r w:rsidRPr="001C726E">
        <w:lastRenderedPageBreak/>
        <w:t>Pr</w:t>
      </w:r>
      <w:r w:rsidR="00167E9D">
        <w:t>ehľad vývoja zadlženosti k 30.09</w:t>
      </w:r>
      <w:r w:rsidRPr="001C726E">
        <w:t>.2010</w:t>
      </w:r>
    </w:p>
    <w:p w:rsidR="00660AE8" w:rsidRPr="00895A2C" w:rsidRDefault="000B7B09" w:rsidP="00E60F86">
      <w:pPr>
        <w:pStyle w:val="Odsekzoznamu"/>
        <w:spacing w:before="240" w:after="120"/>
        <w:ind w:left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47pt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97F4E" w:rsidRDefault="00B97F4E" w:rsidP="00E60F86">
      <w:pPr>
        <w:keepNext/>
        <w:spacing w:before="240" w:after="100" w:afterAutospacing="1"/>
      </w:pPr>
      <w:r w:rsidRPr="00B97F4E">
        <w:rPr>
          <w:b/>
          <w:noProof/>
        </w:rPr>
        <w:drawing>
          <wp:inline distT="0" distB="0" distL="0" distR="0">
            <wp:extent cx="6076950" cy="1952625"/>
            <wp:effectExtent l="0" t="0" r="0" b="0"/>
            <wp:docPr id="2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7F4E" w:rsidRDefault="00B97F4E" w:rsidP="00450CA6">
      <w:pPr>
        <w:pStyle w:val="Popis"/>
        <w:spacing w:after="0"/>
        <w:rPr>
          <w:b w:val="0"/>
        </w:rPr>
      </w:pPr>
      <w:r>
        <w:t xml:space="preserve">Diagram </w:t>
      </w:r>
      <w:fldSimple w:instr=" SEQ Diagram \* ARABIC ">
        <w:r w:rsidR="00B81430">
          <w:rPr>
            <w:noProof/>
          </w:rPr>
          <w:t>1</w:t>
        </w:r>
      </w:fldSimple>
      <w:r w:rsidR="00E60F86">
        <w:t xml:space="preserve"> </w:t>
      </w:r>
    </w:p>
    <w:p w:rsidR="00E97D7D" w:rsidRPr="00E60F86" w:rsidRDefault="001D2B68" w:rsidP="00E60F86">
      <w:pPr>
        <w:keepNext/>
        <w:rPr>
          <w:b/>
          <w:bCs/>
          <w:color w:val="4F81BD" w:themeColor="accent1"/>
          <w:sz w:val="18"/>
          <w:szCs w:val="18"/>
        </w:rPr>
      </w:pPr>
      <w:r w:rsidRPr="00E10A81">
        <w:rPr>
          <w:noProof/>
        </w:rPr>
        <w:drawing>
          <wp:inline distT="0" distB="0" distL="0" distR="0">
            <wp:extent cx="6076950" cy="1990725"/>
            <wp:effectExtent l="0" t="0" r="0" b="0"/>
            <wp:docPr id="1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50CA6" w:rsidRPr="00E60F86">
        <w:rPr>
          <w:b/>
          <w:bCs/>
          <w:color w:val="4F81BD" w:themeColor="accent1"/>
          <w:sz w:val="18"/>
          <w:szCs w:val="18"/>
        </w:rPr>
        <w:t xml:space="preserve">Diagram </w:t>
      </w:r>
      <w:r w:rsidR="00077A79" w:rsidRPr="00E60F86">
        <w:rPr>
          <w:b/>
          <w:bCs/>
          <w:color w:val="4F81BD" w:themeColor="accent1"/>
          <w:sz w:val="18"/>
          <w:szCs w:val="18"/>
        </w:rPr>
        <w:fldChar w:fldCharType="begin"/>
      </w:r>
      <w:r w:rsidR="00EE0D75" w:rsidRPr="00E60F86">
        <w:rPr>
          <w:b/>
          <w:bCs/>
          <w:color w:val="4F81BD" w:themeColor="accent1"/>
          <w:sz w:val="18"/>
          <w:szCs w:val="18"/>
        </w:rPr>
        <w:instrText xml:space="preserve"> SEQ Diagram \* ARABIC </w:instrText>
      </w:r>
      <w:r w:rsidR="00077A79" w:rsidRPr="00E60F86">
        <w:rPr>
          <w:b/>
          <w:bCs/>
          <w:color w:val="4F81BD" w:themeColor="accent1"/>
          <w:sz w:val="18"/>
          <w:szCs w:val="18"/>
        </w:rPr>
        <w:fldChar w:fldCharType="separate"/>
      </w:r>
      <w:r w:rsidR="00B81430">
        <w:rPr>
          <w:b/>
          <w:bCs/>
          <w:noProof/>
          <w:color w:val="4F81BD" w:themeColor="accent1"/>
          <w:sz w:val="18"/>
          <w:szCs w:val="18"/>
        </w:rPr>
        <w:t>2</w:t>
      </w:r>
      <w:r w:rsidR="00077A79" w:rsidRPr="00E60F86">
        <w:rPr>
          <w:b/>
          <w:bCs/>
          <w:color w:val="4F81BD" w:themeColor="accent1"/>
          <w:sz w:val="18"/>
          <w:szCs w:val="18"/>
        </w:rPr>
        <w:fldChar w:fldCharType="end"/>
      </w:r>
    </w:p>
    <w:p w:rsidR="003A3F86" w:rsidRPr="0017333C" w:rsidRDefault="0017333C" w:rsidP="00450CA6">
      <w:pPr>
        <w:pStyle w:val="Nadpis1"/>
        <w:spacing w:before="360"/>
      </w:pPr>
      <w:r w:rsidRPr="0017333C">
        <w:t>Skryté riziká</w:t>
      </w:r>
      <w:r w:rsidR="0011400E">
        <w:t>,</w:t>
      </w:r>
      <w:r w:rsidRPr="0017333C">
        <w:t xml:space="preserve"> </w:t>
      </w:r>
      <w:r>
        <w:t xml:space="preserve">ktoré môžu ovplyvniť dlhový profil </w:t>
      </w:r>
      <w:r w:rsidR="0011400E">
        <w:t>Mesta</w:t>
      </w:r>
      <w:r w:rsidR="001D19FA">
        <w:t xml:space="preserve"> Košice</w:t>
      </w:r>
    </w:p>
    <w:p w:rsidR="00A95522" w:rsidRDefault="0017333C" w:rsidP="00E97D7D">
      <w:pPr>
        <w:spacing w:before="240"/>
        <w:ind w:firstLine="360"/>
        <w:jc w:val="both"/>
      </w:pPr>
      <w:r>
        <w:t xml:space="preserve">Napriek tomu, že ukazovateľ </w:t>
      </w:r>
      <w:r w:rsidR="000D6864">
        <w:t>čistého</w:t>
      </w:r>
      <w:r>
        <w:t xml:space="preserve"> dlhu k bežným príjmom </w:t>
      </w:r>
      <w:r w:rsidR="00450CA6">
        <w:t>m</w:t>
      </w:r>
      <w:r w:rsidR="0011400E">
        <w:t>esta</w:t>
      </w:r>
      <w:r>
        <w:t xml:space="preserve"> k 30.0</w:t>
      </w:r>
      <w:r w:rsidR="00487EF9">
        <w:t>9</w:t>
      </w:r>
      <w:r w:rsidR="00C26A49">
        <w:t>.2010 dosahuje hodnotu</w:t>
      </w:r>
      <w:r w:rsidR="0011400E">
        <w:t xml:space="preserve"> </w:t>
      </w:r>
      <w:r w:rsidR="00F77CEA">
        <w:t>32</w:t>
      </w:r>
      <w:r>
        <w:t>,</w:t>
      </w:r>
      <w:r w:rsidR="00F77CEA">
        <w:t>12</w:t>
      </w:r>
      <w:r>
        <w:t xml:space="preserve"> % a na základe priebežne aktualizovaného investičného programu </w:t>
      </w:r>
      <w:r w:rsidR="0011400E">
        <w:t>Mesta</w:t>
      </w:r>
      <w:r>
        <w:t xml:space="preserve"> Košice</w:t>
      </w:r>
      <w:r w:rsidR="0011400E">
        <w:t xml:space="preserve"> počas roka</w:t>
      </w:r>
      <w:r w:rsidR="001D19FA">
        <w:t xml:space="preserve"> </w:t>
      </w:r>
      <w:r>
        <w:t xml:space="preserve">nemôžem vylúčiť určité riziká, ktoré priamo alebo nepriamo môžu </w:t>
      </w:r>
      <w:r w:rsidR="00A95522">
        <w:t xml:space="preserve">negatívne </w:t>
      </w:r>
      <w:r>
        <w:t xml:space="preserve">ovplyvniť dlh </w:t>
      </w:r>
      <w:r w:rsidR="0011400E">
        <w:t>Mesta</w:t>
      </w:r>
      <w:r w:rsidR="00E532FC">
        <w:t xml:space="preserve"> Košice. Ide o tieto riziká</w:t>
      </w:r>
      <w:r>
        <w:t xml:space="preserve">: </w:t>
      </w:r>
    </w:p>
    <w:p w:rsidR="00E60F86" w:rsidRDefault="00E60F86">
      <w:pPr>
        <w:rPr>
          <w:rFonts w:eastAsiaTheme="majorEastAsia" w:cstheme="majorBidi"/>
          <w:szCs w:val="20"/>
          <w:lang w:eastAsia="cs-CZ"/>
        </w:rPr>
      </w:pPr>
      <w:r>
        <w:br w:type="page"/>
      </w:r>
    </w:p>
    <w:p w:rsidR="00A95522" w:rsidRPr="00A95522" w:rsidRDefault="00A95522" w:rsidP="00E97D7D">
      <w:pPr>
        <w:pStyle w:val="Nadpis2"/>
        <w:spacing w:before="240"/>
      </w:pPr>
      <w:r w:rsidRPr="00A95522">
        <w:lastRenderedPageBreak/>
        <w:t xml:space="preserve">Priame riziká: </w:t>
      </w:r>
    </w:p>
    <w:p w:rsidR="0017333C" w:rsidRDefault="0017333C" w:rsidP="00533446">
      <w:pPr>
        <w:pStyle w:val="Odsekzoznamu"/>
        <w:numPr>
          <w:ilvl w:val="0"/>
          <w:numId w:val="11"/>
        </w:numPr>
        <w:spacing w:before="360" w:line="276" w:lineRule="auto"/>
        <w:ind w:left="851" w:hanging="425"/>
        <w:jc w:val="both"/>
      </w:pPr>
      <w:r>
        <w:t>vývoj bežných príjmov v priebehu roka (</w:t>
      </w:r>
      <w:r w:rsidR="00201F9A">
        <w:t>predpokladaný pokles</w:t>
      </w:r>
      <w:r w:rsidR="00E532FC">
        <w:t xml:space="preserve"> podielových daní)</w:t>
      </w:r>
      <w:r w:rsidR="00C963BA">
        <w:t xml:space="preserve"> </w:t>
      </w:r>
    </w:p>
    <w:p w:rsidR="00751091" w:rsidRDefault="00201F9A" w:rsidP="001D2B68">
      <w:pPr>
        <w:pStyle w:val="Odsekzoznamu"/>
        <w:numPr>
          <w:ilvl w:val="0"/>
          <w:numId w:val="11"/>
        </w:numPr>
        <w:spacing w:line="276" w:lineRule="auto"/>
        <w:ind w:left="851" w:hanging="425"/>
        <w:jc w:val="both"/>
      </w:pPr>
      <w:r>
        <w:t>schopnosť splácať istiny a úroky týkajúce sa financovania a</w:t>
      </w:r>
      <w:r w:rsidR="001F581F">
        <w:t> </w:t>
      </w:r>
      <w:r>
        <w:t>pre</w:t>
      </w:r>
      <w:r w:rsidR="001F581F">
        <w:t xml:space="preserve"> - pred</w:t>
      </w:r>
      <w:r>
        <w:t xml:space="preserve">financovania investičného programu </w:t>
      </w:r>
      <w:r w:rsidR="0011400E">
        <w:t>Mesta</w:t>
      </w:r>
      <w:r>
        <w:t xml:space="preserve"> Košice</w:t>
      </w:r>
      <w:r w:rsidR="00751091">
        <w:t>,</w:t>
      </w:r>
    </w:p>
    <w:p w:rsidR="00EF5F57" w:rsidRDefault="008F007B" w:rsidP="001D2B68">
      <w:pPr>
        <w:pStyle w:val="Odsekzoznamu"/>
        <w:numPr>
          <w:ilvl w:val="0"/>
          <w:numId w:val="11"/>
        </w:numPr>
        <w:spacing w:line="276" w:lineRule="auto"/>
        <w:ind w:left="851" w:hanging="425"/>
        <w:jc w:val="both"/>
      </w:pPr>
      <w:r>
        <w:t xml:space="preserve">v </w:t>
      </w:r>
      <w:r w:rsidR="00EF5F57">
        <w:t xml:space="preserve"> upravenom rozpočte </w:t>
      </w:r>
      <w:r>
        <w:t xml:space="preserve"> je </w:t>
      </w:r>
      <w:r w:rsidR="00EF5F57">
        <w:t xml:space="preserve">počítané </w:t>
      </w:r>
      <w:r w:rsidR="0011400E">
        <w:t>s</w:t>
      </w:r>
      <w:r w:rsidR="00EF5F57">
        <w:t xml:space="preserve"> ďalšími </w:t>
      </w:r>
      <w:r w:rsidR="0079475E">
        <w:t>úverovými zdrojm</w:t>
      </w:r>
      <w:r w:rsidR="00396AF0">
        <w:t xml:space="preserve">i, </w:t>
      </w:r>
      <w:r>
        <w:t>ktoré navyšujú</w:t>
      </w:r>
      <w:r w:rsidR="00577CE4">
        <w:t xml:space="preserve"> dlh</w:t>
      </w:r>
      <w:r w:rsidR="00E60F86">
        <w:t>,</w:t>
      </w:r>
    </w:p>
    <w:p w:rsidR="00C2611A" w:rsidRDefault="00C2611A" w:rsidP="001D2B68">
      <w:pPr>
        <w:pStyle w:val="Odsekzoznamu"/>
        <w:numPr>
          <w:ilvl w:val="0"/>
          <w:numId w:val="11"/>
        </w:numPr>
        <w:spacing w:line="276" w:lineRule="auto"/>
        <w:ind w:left="851" w:hanging="425"/>
        <w:jc w:val="both"/>
      </w:pPr>
      <w:r>
        <w:t>stav d</w:t>
      </w:r>
      <w:r w:rsidR="00201F9A">
        <w:t xml:space="preserve">lhodobých záväzkov </w:t>
      </w:r>
      <w:r w:rsidR="0011400E">
        <w:t>Mesta</w:t>
      </w:r>
      <w:r w:rsidR="00201F9A">
        <w:t xml:space="preserve"> Košice</w:t>
      </w:r>
      <w:r w:rsidR="00A95522">
        <w:t>,</w:t>
      </w:r>
    </w:p>
    <w:p w:rsidR="00751091" w:rsidRDefault="00751091" w:rsidP="00E60F86">
      <w:pPr>
        <w:pStyle w:val="Odsekzoznamu"/>
        <w:numPr>
          <w:ilvl w:val="0"/>
          <w:numId w:val="11"/>
        </w:numPr>
        <w:spacing w:line="276" w:lineRule="auto"/>
        <w:ind w:left="851" w:hanging="425"/>
        <w:jc w:val="both"/>
      </w:pPr>
      <w:r>
        <w:t xml:space="preserve">stav finančnej rezervy </w:t>
      </w:r>
      <w:r w:rsidR="0011400E">
        <w:t>Mesta</w:t>
      </w:r>
      <w:r>
        <w:t xml:space="preserve"> Košice</w:t>
      </w:r>
      <w:r w:rsidR="00201F9A">
        <w:t xml:space="preserve"> (rezervný fond)</w:t>
      </w:r>
      <w:r w:rsidR="00C2611A">
        <w:t>,</w:t>
      </w:r>
    </w:p>
    <w:p w:rsidR="000B7E85" w:rsidRDefault="00201F9A" w:rsidP="001D2B68">
      <w:pPr>
        <w:pStyle w:val="Odsekzoznamu"/>
        <w:numPr>
          <w:ilvl w:val="0"/>
          <w:numId w:val="11"/>
        </w:numPr>
        <w:spacing w:line="276" w:lineRule="auto"/>
        <w:ind w:left="851" w:hanging="425"/>
        <w:jc w:val="both"/>
      </w:pPr>
      <w:r>
        <w:t xml:space="preserve">vývoj </w:t>
      </w:r>
      <w:r w:rsidR="000B7E85">
        <w:t>inflácie</w:t>
      </w:r>
      <w:r w:rsidR="0011400E">
        <w:t>,</w:t>
      </w:r>
      <w:r w:rsidR="00F91994">
        <w:t xml:space="preserve"> ktorá ovplyvňuje úroky,</w:t>
      </w:r>
    </w:p>
    <w:p w:rsidR="00751091" w:rsidRDefault="000B7E85" w:rsidP="001D2B68">
      <w:pPr>
        <w:pStyle w:val="Odsekzoznamu"/>
        <w:numPr>
          <w:ilvl w:val="0"/>
          <w:numId w:val="11"/>
        </w:numPr>
        <w:spacing w:line="276" w:lineRule="auto"/>
        <w:ind w:left="851" w:hanging="425"/>
        <w:jc w:val="both"/>
      </w:pPr>
      <w:r>
        <w:t>ekonomické a hospodárske opatrenia Vlády SR</w:t>
      </w:r>
      <w:r w:rsidR="00C963BA">
        <w:t>, MF SR.</w:t>
      </w:r>
    </w:p>
    <w:p w:rsidR="000B7E85" w:rsidRPr="00A95522" w:rsidRDefault="00A95522" w:rsidP="00176C4A">
      <w:pPr>
        <w:pStyle w:val="Nadpis2"/>
        <w:spacing w:before="360"/>
      </w:pPr>
      <w:r w:rsidRPr="00A95522">
        <w:t>Nepriame riziká</w:t>
      </w:r>
      <w:r w:rsidR="000B7E85" w:rsidRPr="00A95522">
        <w:t>:</w:t>
      </w:r>
    </w:p>
    <w:p w:rsidR="000B7E85" w:rsidRDefault="003F1708" w:rsidP="00176C4A">
      <w:pPr>
        <w:pStyle w:val="Odsekzoznamu"/>
        <w:numPr>
          <w:ilvl w:val="0"/>
          <w:numId w:val="11"/>
        </w:numPr>
        <w:spacing w:before="360" w:line="276" w:lineRule="auto"/>
        <w:ind w:left="851" w:hanging="425"/>
        <w:jc w:val="both"/>
      </w:pPr>
      <w:r>
        <w:t>projekty</w:t>
      </w:r>
      <w:r w:rsidR="000B7E85">
        <w:t xml:space="preserve"> PPP</w:t>
      </w:r>
      <w:r w:rsidR="00A95522">
        <w:t>,</w:t>
      </w:r>
      <w:r w:rsidR="000B7E85">
        <w:t xml:space="preserve"> </w:t>
      </w:r>
    </w:p>
    <w:p w:rsidR="00E60F86" w:rsidRDefault="008F007B" w:rsidP="008F007B">
      <w:pPr>
        <w:pStyle w:val="Odsekzoznamu"/>
        <w:numPr>
          <w:ilvl w:val="0"/>
          <w:numId w:val="11"/>
        </w:numPr>
        <w:spacing w:line="276" w:lineRule="auto"/>
        <w:ind w:left="851" w:hanging="425"/>
        <w:jc w:val="both"/>
      </w:pPr>
      <w:r>
        <w:t>stav a  hodnota predaného</w:t>
      </w:r>
      <w:r w:rsidR="00E60F86">
        <w:t xml:space="preserve"> </w:t>
      </w:r>
      <w:r>
        <w:t>dlhodobého majetku a odpisy dlhodobého majetku Mesta Košice,</w:t>
      </w:r>
    </w:p>
    <w:p w:rsidR="000B7E85" w:rsidRDefault="00396AF0" w:rsidP="001D2B68">
      <w:pPr>
        <w:pStyle w:val="Odsekzoznamu"/>
        <w:numPr>
          <w:ilvl w:val="0"/>
          <w:numId w:val="11"/>
        </w:numPr>
        <w:spacing w:line="276" w:lineRule="auto"/>
        <w:ind w:left="851" w:hanging="425"/>
        <w:jc w:val="both"/>
      </w:pPr>
      <w:r>
        <w:t>organizácie a spoločnosti</w:t>
      </w:r>
      <w:r w:rsidR="00C2611A">
        <w:t xml:space="preserve">, </w:t>
      </w:r>
      <w:r w:rsidR="00751091">
        <w:t xml:space="preserve">ktoré </w:t>
      </w:r>
      <w:r w:rsidR="00C2611A">
        <w:t xml:space="preserve">sú </w:t>
      </w:r>
      <w:r w:rsidR="008F007B">
        <w:t>priamo</w:t>
      </w:r>
      <w:r w:rsidR="00C2611A">
        <w:t xml:space="preserve"> na</w:t>
      </w:r>
      <w:r w:rsidR="00751091">
        <w:t>viazané na roz</w:t>
      </w:r>
      <w:r w:rsidR="000B7E85">
        <w:t xml:space="preserve">počet </w:t>
      </w:r>
      <w:r w:rsidR="0011400E">
        <w:t>Mesta</w:t>
      </w:r>
      <w:r w:rsidR="000B7E85">
        <w:t xml:space="preserve"> Košice a využívajú úverové zdroje. Napríklad: </w:t>
      </w:r>
      <w:r w:rsidR="00751091">
        <w:t>DPMK a.s.</w:t>
      </w:r>
      <w:r w:rsidR="00C2611A">
        <w:t xml:space="preserve">, </w:t>
      </w:r>
      <w:r w:rsidR="008F007B">
        <w:t>SMZ</w:t>
      </w:r>
      <w:r w:rsidR="00B81430">
        <w:t xml:space="preserve"> Košice,</w:t>
      </w:r>
      <w:r w:rsidR="008F007B">
        <w:t xml:space="preserve"> </w:t>
      </w:r>
      <w:r w:rsidR="000B7E85">
        <w:t xml:space="preserve">BPMK s.r.o., </w:t>
      </w:r>
      <w:r w:rsidR="00CD2287">
        <w:br/>
      </w:r>
      <w:r w:rsidR="000B7E85">
        <w:t>MFK a.s.</w:t>
      </w:r>
      <w:r w:rsidR="001D19FA">
        <w:t xml:space="preserve"> </w:t>
      </w:r>
      <w:r w:rsidR="000B7E85">
        <w:t>a iné</w:t>
      </w:r>
      <w:r w:rsidR="001D19FA">
        <w:t xml:space="preserve"> </w:t>
      </w:r>
      <w:r w:rsidR="009832A5">
        <w:rPr>
          <w:rStyle w:val="Odkaznapoznmkupodiarou"/>
        </w:rPr>
        <w:footnoteReference w:id="5"/>
      </w:r>
      <w:r w:rsidR="0011400E">
        <w:t>.</w:t>
      </w:r>
    </w:p>
    <w:p w:rsidR="00322D30" w:rsidRDefault="00396AF0" w:rsidP="0011400E">
      <w:pPr>
        <w:pStyle w:val="Odsekzoznamu"/>
        <w:spacing w:before="120" w:line="276" w:lineRule="auto"/>
        <w:ind w:left="851"/>
        <w:jc w:val="both"/>
      </w:pPr>
      <w:r>
        <w:t>N</w:t>
      </w:r>
      <w:r w:rsidR="001D19FA">
        <w:t xml:space="preserve">emôžem vylúčiť </w:t>
      </w:r>
      <w:r w:rsidR="000B7E85">
        <w:t>ani tú skutočnosť</w:t>
      </w:r>
      <w:r w:rsidR="001D19FA">
        <w:t>,</w:t>
      </w:r>
      <w:r w:rsidR="00C2611A">
        <w:t xml:space="preserve"> </w:t>
      </w:r>
      <w:r w:rsidR="001D19FA">
        <w:t xml:space="preserve">že </w:t>
      </w:r>
      <w:r w:rsidR="000B7E85">
        <w:t>môže dôjsť</w:t>
      </w:r>
      <w:r w:rsidR="001D19FA">
        <w:t xml:space="preserve"> k okolnostiam </w:t>
      </w:r>
      <w:r w:rsidR="00C2611A">
        <w:t xml:space="preserve">v priebehu </w:t>
      </w:r>
      <w:r w:rsidR="001D19FA">
        <w:t>realizácie odsúhlasených investičných projektov</w:t>
      </w:r>
      <w:r w:rsidR="00C2611A">
        <w:t xml:space="preserve"> z Euro fondov,</w:t>
      </w:r>
      <w:r w:rsidR="001D19FA">
        <w:t xml:space="preserve"> </w:t>
      </w:r>
      <w:r w:rsidR="00C2611A">
        <w:t xml:space="preserve">že </w:t>
      </w:r>
      <w:r w:rsidR="001D19FA">
        <w:t>niektorý</w:t>
      </w:r>
      <w:r w:rsidR="00C2611A">
        <w:t xml:space="preserve"> projekt bude </w:t>
      </w:r>
      <w:r w:rsidR="001D19FA">
        <w:t xml:space="preserve">vylúčený a </w:t>
      </w:r>
      <w:r w:rsidR="00C2611A">
        <w:t xml:space="preserve">Mesto Košice </w:t>
      </w:r>
      <w:r w:rsidR="001D19FA">
        <w:t>bude splácať projekt</w:t>
      </w:r>
      <w:r w:rsidR="00C2611A">
        <w:t xml:space="preserve"> z vlastných zdrojov</w:t>
      </w:r>
      <w:r w:rsidR="00F91994">
        <w:rPr>
          <w:rStyle w:val="Odkaznapoznmkupodiarou"/>
        </w:rPr>
        <w:footnoteReference w:id="6"/>
      </w:r>
      <w:r w:rsidR="00C2611A">
        <w:t>.</w:t>
      </w:r>
      <w:r w:rsidR="00322D30">
        <w:t xml:space="preserve"> </w:t>
      </w:r>
    </w:p>
    <w:p w:rsidR="00C2611A" w:rsidRDefault="00322D30" w:rsidP="00512F0A">
      <w:pPr>
        <w:spacing w:before="360" w:after="120"/>
        <w:ind w:firstLine="360"/>
        <w:jc w:val="both"/>
      </w:pPr>
      <w:r>
        <w:t>Na základe týchto mojich zistení odporúčam</w:t>
      </w:r>
      <w:r w:rsidR="00E60F86">
        <w:t xml:space="preserve"> naďalej </w:t>
      </w:r>
      <w:r>
        <w:t xml:space="preserve">zvažovať ďalšie úverové zaťaženie </w:t>
      </w:r>
      <w:r w:rsidR="0011400E">
        <w:t>Mesta</w:t>
      </w:r>
      <w:r>
        <w:t xml:space="preserve"> Košice </w:t>
      </w:r>
      <w:r w:rsidR="000B7E85">
        <w:t xml:space="preserve">pred </w:t>
      </w:r>
      <w:r>
        <w:t>prijatím nových úverov.</w:t>
      </w:r>
    </w:p>
    <w:p w:rsidR="001D19FA" w:rsidRDefault="001D19FA" w:rsidP="00322D30">
      <w:pPr>
        <w:jc w:val="both"/>
      </w:pPr>
    </w:p>
    <w:p w:rsidR="001D19FA" w:rsidRDefault="001D19FA" w:rsidP="00322D30">
      <w:pPr>
        <w:jc w:val="both"/>
      </w:pPr>
    </w:p>
    <w:p w:rsidR="004441B1" w:rsidRDefault="004441B1" w:rsidP="00322D30">
      <w:pPr>
        <w:jc w:val="both"/>
      </w:pPr>
    </w:p>
    <w:p w:rsidR="004441B1" w:rsidRDefault="004441B1" w:rsidP="00322D30">
      <w:pPr>
        <w:jc w:val="both"/>
      </w:pPr>
    </w:p>
    <w:p w:rsidR="004441B1" w:rsidRDefault="004441B1" w:rsidP="004441B1">
      <w:pPr>
        <w:jc w:val="right"/>
      </w:pPr>
      <w:r>
        <w:t>Ing. Hana Jakubíková v.</w:t>
      </w:r>
      <w:r w:rsidR="003F1708">
        <w:t xml:space="preserve"> </w:t>
      </w:r>
      <w:r>
        <w:t>r.</w:t>
      </w:r>
    </w:p>
    <w:p w:rsidR="004441B1" w:rsidRDefault="004441B1" w:rsidP="00512F0A">
      <w:pPr>
        <w:ind w:left="6381" w:firstLine="709"/>
        <w:jc w:val="center"/>
      </w:pPr>
      <w:r>
        <w:t xml:space="preserve">hlavný kontrolór </w:t>
      </w:r>
      <w:r w:rsidR="00512F0A">
        <w:t>m</w:t>
      </w:r>
      <w:r w:rsidR="0011400E">
        <w:t>esta</w:t>
      </w:r>
    </w:p>
    <w:p w:rsidR="004441B1" w:rsidRDefault="004441B1" w:rsidP="00322D30">
      <w:pPr>
        <w:jc w:val="both"/>
      </w:pPr>
    </w:p>
    <w:p w:rsidR="004441B1" w:rsidRDefault="004441B1" w:rsidP="00322D30">
      <w:pPr>
        <w:jc w:val="both"/>
      </w:pPr>
    </w:p>
    <w:p w:rsidR="004441B1" w:rsidRDefault="004441B1" w:rsidP="00322D30">
      <w:pPr>
        <w:jc w:val="both"/>
      </w:pPr>
    </w:p>
    <w:p w:rsidR="00E53C3E" w:rsidRDefault="004441B1" w:rsidP="00E53C3E">
      <w:r>
        <w:t xml:space="preserve">V Košiciach, dňa </w:t>
      </w:r>
      <w:r w:rsidR="00C6687C">
        <w:t>27</w:t>
      </w:r>
      <w:r w:rsidR="00A5724D">
        <w:t>.10</w:t>
      </w:r>
      <w:r>
        <w:t>.2010</w:t>
      </w:r>
    </w:p>
    <w:p w:rsidR="004441B1" w:rsidRDefault="004441B1" w:rsidP="00E53C3E"/>
    <w:sectPr w:rsidR="004441B1" w:rsidSect="00176C4A">
      <w:headerReference w:type="default" r:id="rId11"/>
      <w:headerReference w:type="first" r:id="rId12"/>
      <w:pgSz w:w="11906" w:h="16838" w:code="9"/>
      <w:pgMar w:top="1418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E42" w:rsidRDefault="00225E42" w:rsidP="00DD68E2">
      <w:r>
        <w:separator/>
      </w:r>
    </w:p>
  </w:endnote>
  <w:endnote w:type="continuationSeparator" w:id="0">
    <w:p w:rsidR="00225E42" w:rsidRDefault="00225E42" w:rsidP="00DD6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E42" w:rsidRDefault="00225E42" w:rsidP="00DD68E2">
      <w:r>
        <w:separator/>
      </w:r>
    </w:p>
  </w:footnote>
  <w:footnote w:type="continuationSeparator" w:id="0">
    <w:p w:rsidR="00225E42" w:rsidRDefault="00225E42" w:rsidP="00DD68E2">
      <w:r>
        <w:continuationSeparator/>
      </w:r>
    </w:p>
  </w:footnote>
  <w:footnote w:id="1">
    <w:p w:rsidR="001B358D" w:rsidRDefault="001B358D">
      <w:pPr>
        <w:pStyle w:val="Textpoznmkypodiarou"/>
      </w:pPr>
      <w:r>
        <w:rPr>
          <w:rStyle w:val="Odkaznapoznmkupodiarou"/>
        </w:rPr>
        <w:footnoteRef/>
      </w:r>
      <w:r>
        <w:t xml:space="preserve"> Zákon č. 583/2004 z. z. o rozpočtových pravidlách územnej samosprávy § 17 ods. 8</w:t>
      </w:r>
      <w:r w:rsidR="00C963BA">
        <w:t>.</w:t>
      </w:r>
    </w:p>
  </w:footnote>
  <w:footnote w:id="2">
    <w:p w:rsidR="001B358D" w:rsidRDefault="001B358D">
      <w:pPr>
        <w:pStyle w:val="Textpoznmkypodiarou"/>
      </w:pPr>
      <w:r>
        <w:rPr>
          <w:rStyle w:val="Odkaznapoznmkupodiarou"/>
        </w:rPr>
        <w:footnoteRef/>
      </w:r>
      <w:r>
        <w:t xml:space="preserve"> Zákon č. 583/2004 z. z. o rozpočtových pravidlách územnej samosprávy § 17 ods. 7</w:t>
      </w:r>
      <w:r w:rsidR="00C963BA">
        <w:t>.</w:t>
      </w:r>
    </w:p>
  </w:footnote>
  <w:footnote w:id="3">
    <w:p w:rsidR="004468B0" w:rsidRDefault="004468B0" w:rsidP="00F2275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Zákon č. 583/2004 Z. z. o rozpočtových pravidlách územnej samosprávy § 5</w:t>
      </w:r>
      <w:r w:rsidR="00C963BA">
        <w:t>.</w:t>
      </w:r>
    </w:p>
  </w:footnote>
  <w:footnote w:id="4">
    <w:p w:rsidR="00795EB2" w:rsidRDefault="00795EB2" w:rsidP="00F2275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Záverečný účet </w:t>
      </w:r>
      <w:r w:rsidR="0011400E">
        <w:t>Mesta</w:t>
      </w:r>
      <w:r>
        <w:t xml:space="preserve"> Košice za rok 2009 – Bilancia prí</w:t>
      </w:r>
      <w:r w:rsidR="00F22751">
        <w:t>jmov a výdavkov k 31.12.2009</w:t>
      </w:r>
      <w:r w:rsidR="00C963BA">
        <w:t>.</w:t>
      </w:r>
    </w:p>
  </w:footnote>
  <w:footnote w:id="5">
    <w:p w:rsidR="00C963BA" w:rsidRDefault="009832A5" w:rsidP="00B108AD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Rozbor hos</w:t>
      </w:r>
      <w:r w:rsidR="007D50A9">
        <w:t>podárenia RO a PO k 31.3.2010, I</w:t>
      </w:r>
      <w:r>
        <w:t xml:space="preserve">nformácia o výsledkoch hospodárenia obchodných spoločností </w:t>
      </w:r>
    </w:p>
    <w:p w:rsidR="009832A5" w:rsidRDefault="00C963BA" w:rsidP="00B108AD">
      <w:pPr>
        <w:pStyle w:val="Textpoznmkypodiarou"/>
        <w:ind w:left="142" w:hanging="142"/>
        <w:jc w:val="both"/>
      </w:pPr>
      <w:r>
        <w:t xml:space="preserve">     </w:t>
      </w:r>
      <w:r w:rsidR="009832A5">
        <w:t xml:space="preserve">s účasťou </w:t>
      </w:r>
      <w:r w:rsidR="00B108AD">
        <w:t>m</w:t>
      </w:r>
      <w:r w:rsidR="0011400E">
        <w:t>esta</w:t>
      </w:r>
      <w:r w:rsidR="00B108AD">
        <w:t xml:space="preserve"> za rok 2009 (</w:t>
      </w:r>
      <w:r w:rsidR="009832A5">
        <w:t>XXXVI. rokovanie MZ, dňa 29.06.2010</w:t>
      </w:r>
      <w:r w:rsidR="00B108AD">
        <w:t xml:space="preserve">, </w:t>
      </w:r>
      <w:r>
        <w:t>bod 6, bod 7).</w:t>
      </w:r>
    </w:p>
  </w:footnote>
  <w:footnote w:id="6">
    <w:p w:rsidR="00F91994" w:rsidRDefault="00F91994" w:rsidP="00B108A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Zákon č. 528/2008 Z. z. o pomoci a podpora poskytovanej z fondov Európskej únií § 24 – 24j</w:t>
      </w:r>
      <w:r w:rsidR="00C963BA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46" w:rsidRDefault="00533446" w:rsidP="00533446">
    <w:pP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0C" w:rsidRPr="00CC3C0C" w:rsidRDefault="00CC3C0C">
    <w:pPr>
      <w:pStyle w:val="Hlavika"/>
      <w:rPr>
        <w:b/>
        <w:sz w:val="20"/>
      </w:rPr>
    </w:pPr>
    <w:r w:rsidRPr="00CC3C0C">
      <w:rPr>
        <w:b/>
        <w:sz w:val="20"/>
      </w:rPr>
      <w:t>Útvar Hlavného kontrolóra</w:t>
    </w:r>
  </w:p>
  <w:p w:rsidR="00CC3C0C" w:rsidRPr="00CC3C0C" w:rsidRDefault="00CC3C0C">
    <w:pPr>
      <w:pStyle w:val="Hlavika"/>
      <w:rPr>
        <w:b/>
        <w:sz w:val="20"/>
      </w:rPr>
    </w:pPr>
    <w:r w:rsidRPr="00CC3C0C">
      <w:rPr>
        <w:b/>
        <w:sz w:val="20"/>
      </w:rPr>
      <w:t>Mesto Košice</w:t>
    </w:r>
  </w:p>
  <w:p w:rsidR="00CC3C0C" w:rsidRPr="005A588B" w:rsidRDefault="00CC3C0C" w:rsidP="00CC3C0C">
    <w:pPr>
      <w:pStyle w:val="Nzov"/>
      <w:spacing w:before="240" w:after="0"/>
      <w:jc w:val="center"/>
    </w:pPr>
    <w:r w:rsidRPr="005A588B">
      <w:t>STANOVISKO</w:t>
    </w:r>
    <w:r w:rsidRPr="005A588B">
      <w:br/>
      <w:t xml:space="preserve"> k prijatiu návratn</w:t>
    </w:r>
    <w:r>
      <w:t>ých zdrojov financovania k 30.09</w:t>
    </w:r>
    <w:r w:rsidRPr="005A588B">
      <w:t>.2010</w:t>
    </w:r>
  </w:p>
  <w:p w:rsidR="00CC3C0C" w:rsidRDefault="00CC3C0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8D0"/>
    <w:multiLevelType w:val="hybridMultilevel"/>
    <w:tmpl w:val="756E9FC8"/>
    <w:lvl w:ilvl="0" w:tplc="A98CC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9222CF"/>
    <w:multiLevelType w:val="hybridMultilevel"/>
    <w:tmpl w:val="ADB0BF08"/>
    <w:lvl w:ilvl="0" w:tplc="025ABA08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169C2"/>
    <w:multiLevelType w:val="hybridMultilevel"/>
    <w:tmpl w:val="2CD67C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546C59"/>
    <w:multiLevelType w:val="hybridMultilevel"/>
    <w:tmpl w:val="CA0EEFF0"/>
    <w:lvl w:ilvl="0" w:tplc="74E29AA6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E272F"/>
    <w:multiLevelType w:val="hybridMultilevel"/>
    <w:tmpl w:val="ADB0BF08"/>
    <w:lvl w:ilvl="0" w:tplc="025ABA0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A3730"/>
    <w:multiLevelType w:val="hybridMultilevel"/>
    <w:tmpl w:val="C17C4DAE"/>
    <w:lvl w:ilvl="0" w:tplc="5AE6B550">
      <w:start w:val="1"/>
      <w:numFmt w:val="decimal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FF7F84"/>
    <w:multiLevelType w:val="hybridMultilevel"/>
    <w:tmpl w:val="ED267590"/>
    <w:lvl w:ilvl="0" w:tplc="4768D50C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30155908"/>
    <w:multiLevelType w:val="hybridMultilevel"/>
    <w:tmpl w:val="2CF2B03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34515A"/>
    <w:multiLevelType w:val="multilevel"/>
    <w:tmpl w:val="B198C84C"/>
    <w:lvl w:ilvl="0">
      <w:start w:val="1"/>
      <w:numFmt w:val="decimal"/>
      <w:pStyle w:val="Nadpis1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B972041"/>
    <w:multiLevelType w:val="hybridMultilevel"/>
    <w:tmpl w:val="E49A85A2"/>
    <w:lvl w:ilvl="0" w:tplc="961E95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0F783F"/>
    <w:multiLevelType w:val="hybridMultilevel"/>
    <w:tmpl w:val="ADB0BF08"/>
    <w:lvl w:ilvl="0" w:tplc="025ABA08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3D21BE"/>
    <w:multiLevelType w:val="hybridMultilevel"/>
    <w:tmpl w:val="427AD628"/>
    <w:lvl w:ilvl="0" w:tplc="26C26D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E5127B"/>
    <w:multiLevelType w:val="hybridMultilevel"/>
    <w:tmpl w:val="2E2A5848"/>
    <w:lvl w:ilvl="0" w:tplc="F634B30A">
      <w:numFmt w:val="bullet"/>
      <w:lvlText w:val="-"/>
      <w:lvlJc w:val="left"/>
      <w:pPr>
        <w:ind w:left="87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3">
    <w:nsid w:val="77E73CB3"/>
    <w:multiLevelType w:val="hybridMultilevel"/>
    <w:tmpl w:val="8062C870"/>
    <w:lvl w:ilvl="0" w:tplc="041B0015">
      <w:start w:val="1"/>
      <w:numFmt w:val="upp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8"/>
  </w:num>
  <w:num w:numId="5">
    <w:abstractNumId w:val="8"/>
  </w:num>
  <w:num w:numId="6">
    <w:abstractNumId w:val="8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  <w:num w:numId="13">
    <w:abstractNumId w:val="10"/>
  </w:num>
  <w:num w:numId="14">
    <w:abstractNumId w:val="2"/>
  </w:num>
  <w:num w:numId="15">
    <w:abstractNumId w:val="1"/>
  </w:num>
  <w:num w:numId="16">
    <w:abstractNumId w:val="4"/>
  </w:num>
  <w:num w:numId="17">
    <w:abstractNumId w:val="0"/>
  </w:num>
  <w:num w:numId="18">
    <w:abstractNumId w:val="8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ocumentProtection w:edit="readOnly" w:enforcement="1" w:cryptProviderType="rsaFull" w:cryptAlgorithmClass="hash" w:cryptAlgorithmType="typeAny" w:cryptAlgorithmSid="4" w:cryptSpinCount="100000" w:hash="+iIPc174EtKGWaRPGwsnmXxeTd8=" w:salt="UVC6JFdgmhYeAjck+jRciQ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DD68E2"/>
    <w:rsid w:val="00005C4D"/>
    <w:rsid w:val="00022BEF"/>
    <w:rsid w:val="00030C1F"/>
    <w:rsid w:val="00077A79"/>
    <w:rsid w:val="00085B5C"/>
    <w:rsid w:val="000B1C65"/>
    <w:rsid w:val="000B7B09"/>
    <w:rsid w:val="000B7E85"/>
    <w:rsid w:val="000C7E92"/>
    <w:rsid w:val="000D6864"/>
    <w:rsid w:val="000E1A43"/>
    <w:rsid w:val="000E3B82"/>
    <w:rsid w:val="0011400E"/>
    <w:rsid w:val="00142AF0"/>
    <w:rsid w:val="001479F8"/>
    <w:rsid w:val="00160530"/>
    <w:rsid w:val="00162D0C"/>
    <w:rsid w:val="00167E9D"/>
    <w:rsid w:val="0017333C"/>
    <w:rsid w:val="00175A61"/>
    <w:rsid w:val="00176C4A"/>
    <w:rsid w:val="00187D8B"/>
    <w:rsid w:val="001A5B80"/>
    <w:rsid w:val="001B358D"/>
    <w:rsid w:val="001C726E"/>
    <w:rsid w:val="001D19FA"/>
    <w:rsid w:val="001D2B68"/>
    <w:rsid w:val="001D3029"/>
    <w:rsid w:val="001E24BF"/>
    <w:rsid w:val="001F581F"/>
    <w:rsid w:val="00201F9A"/>
    <w:rsid w:val="00215208"/>
    <w:rsid w:val="00225E42"/>
    <w:rsid w:val="00240EE0"/>
    <w:rsid w:val="002635C5"/>
    <w:rsid w:val="00273F2C"/>
    <w:rsid w:val="00275505"/>
    <w:rsid w:val="00284EB5"/>
    <w:rsid w:val="002A6688"/>
    <w:rsid w:val="002B1B9C"/>
    <w:rsid w:val="00314023"/>
    <w:rsid w:val="003140F4"/>
    <w:rsid w:val="00314B81"/>
    <w:rsid w:val="00322D30"/>
    <w:rsid w:val="00350871"/>
    <w:rsid w:val="003522E7"/>
    <w:rsid w:val="00374A3B"/>
    <w:rsid w:val="003902B0"/>
    <w:rsid w:val="00396AF0"/>
    <w:rsid w:val="003A3F86"/>
    <w:rsid w:val="003D28B1"/>
    <w:rsid w:val="003E7E64"/>
    <w:rsid w:val="003F1708"/>
    <w:rsid w:val="003F640E"/>
    <w:rsid w:val="003F6DDB"/>
    <w:rsid w:val="00404BF6"/>
    <w:rsid w:val="0043799E"/>
    <w:rsid w:val="004441B1"/>
    <w:rsid w:val="004468B0"/>
    <w:rsid w:val="00450CA6"/>
    <w:rsid w:val="0045257D"/>
    <w:rsid w:val="00473B2C"/>
    <w:rsid w:val="00481F93"/>
    <w:rsid w:val="00487EF9"/>
    <w:rsid w:val="004C145F"/>
    <w:rsid w:val="004C67DD"/>
    <w:rsid w:val="004D16C7"/>
    <w:rsid w:val="004E3FC2"/>
    <w:rsid w:val="004E48D6"/>
    <w:rsid w:val="004E7E77"/>
    <w:rsid w:val="00501E03"/>
    <w:rsid w:val="005126BF"/>
    <w:rsid w:val="00512F0A"/>
    <w:rsid w:val="0051384A"/>
    <w:rsid w:val="00517F0C"/>
    <w:rsid w:val="00533446"/>
    <w:rsid w:val="005652D1"/>
    <w:rsid w:val="00577CE4"/>
    <w:rsid w:val="005823E7"/>
    <w:rsid w:val="00582FFB"/>
    <w:rsid w:val="005A588B"/>
    <w:rsid w:val="005C56B4"/>
    <w:rsid w:val="005D1F78"/>
    <w:rsid w:val="005E7243"/>
    <w:rsid w:val="00633DE5"/>
    <w:rsid w:val="00660AE8"/>
    <w:rsid w:val="00677E53"/>
    <w:rsid w:val="006A4322"/>
    <w:rsid w:val="006C1F90"/>
    <w:rsid w:val="006C565D"/>
    <w:rsid w:val="006E34CC"/>
    <w:rsid w:val="006F7959"/>
    <w:rsid w:val="00714326"/>
    <w:rsid w:val="00751091"/>
    <w:rsid w:val="007640BF"/>
    <w:rsid w:val="00786537"/>
    <w:rsid w:val="0079216F"/>
    <w:rsid w:val="0079475E"/>
    <w:rsid w:val="00795EB2"/>
    <w:rsid w:val="007A4218"/>
    <w:rsid w:val="007B3150"/>
    <w:rsid w:val="007D3AA3"/>
    <w:rsid w:val="007D50A9"/>
    <w:rsid w:val="007E13B0"/>
    <w:rsid w:val="007F31C4"/>
    <w:rsid w:val="007F6657"/>
    <w:rsid w:val="00880142"/>
    <w:rsid w:val="00895A2C"/>
    <w:rsid w:val="008C0948"/>
    <w:rsid w:val="008F007B"/>
    <w:rsid w:val="008F07C6"/>
    <w:rsid w:val="008F6CAD"/>
    <w:rsid w:val="00901A42"/>
    <w:rsid w:val="009245CB"/>
    <w:rsid w:val="00971ACD"/>
    <w:rsid w:val="009721EE"/>
    <w:rsid w:val="009832A5"/>
    <w:rsid w:val="00A35BB3"/>
    <w:rsid w:val="00A5724D"/>
    <w:rsid w:val="00A61F8C"/>
    <w:rsid w:val="00A95522"/>
    <w:rsid w:val="00A96B13"/>
    <w:rsid w:val="00AC1E54"/>
    <w:rsid w:val="00AE0087"/>
    <w:rsid w:val="00AF103D"/>
    <w:rsid w:val="00B06999"/>
    <w:rsid w:val="00B108AD"/>
    <w:rsid w:val="00B25587"/>
    <w:rsid w:val="00B4597D"/>
    <w:rsid w:val="00B740CC"/>
    <w:rsid w:val="00B81430"/>
    <w:rsid w:val="00B97F4E"/>
    <w:rsid w:val="00BB1231"/>
    <w:rsid w:val="00BB2493"/>
    <w:rsid w:val="00BB7FFE"/>
    <w:rsid w:val="00BC44CC"/>
    <w:rsid w:val="00BC7D55"/>
    <w:rsid w:val="00C022BD"/>
    <w:rsid w:val="00C103CE"/>
    <w:rsid w:val="00C13536"/>
    <w:rsid w:val="00C2611A"/>
    <w:rsid w:val="00C26A49"/>
    <w:rsid w:val="00C27C45"/>
    <w:rsid w:val="00C6687C"/>
    <w:rsid w:val="00C963BA"/>
    <w:rsid w:val="00C96BDE"/>
    <w:rsid w:val="00CB366F"/>
    <w:rsid w:val="00CC3C0C"/>
    <w:rsid w:val="00CC3C30"/>
    <w:rsid w:val="00CD2287"/>
    <w:rsid w:val="00D2303F"/>
    <w:rsid w:val="00D56A02"/>
    <w:rsid w:val="00DD68E2"/>
    <w:rsid w:val="00DE0729"/>
    <w:rsid w:val="00DF3375"/>
    <w:rsid w:val="00E0748A"/>
    <w:rsid w:val="00E10A81"/>
    <w:rsid w:val="00E3041F"/>
    <w:rsid w:val="00E51BA0"/>
    <w:rsid w:val="00E532FC"/>
    <w:rsid w:val="00E53C3E"/>
    <w:rsid w:val="00E60F86"/>
    <w:rsid w:val="00E80DC6"/>
    <w:rsid w:val="00E97D7D"/>
    <w:rsid w:val="00EA065C"/>
    <w:rsid w:val="00EB312F"/>
    <w:rsid w:val="00EC2A85"/>
    <w:rsid w:val="00EE0D75"/>
    <w:rsid w:val="00EF5F57"/>
    <w:rsid w:val="00F21E2B"/>
    <w:rsid w:val="00F22751"/>
    <w:rsid w:val="00F512F9"/>
    <w:rsid w:val="00F67D55"/>
    <w:rsid w:val="00F77CEA"/>
    <w:rsid w:val="00F91994"/>
    <w:rsid w:val="00F92CAD"/>
    <w:rsid w:val="00FE1DFC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C30"/>
    <w:rPr>
      <w:rFonts w:cs="Tahoma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880142"/>
    <w:pPr>
      <w:keepNext/>
      <w:numPr>
        <w:numId w:val="4"/>
      </w:numPr>
      <w:outlineLvl w:val="0"/>
    </w:pPr>
    <w:rPr>
      <w:rFonts w:eastAsiaTheme="majorEastAsia" w:cstheme="majorBidi"/>
      <w:b/>
      <w:caps/>
      <w:sz w:val="22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0D6864"/>
    <w:pPr>
      <w:keepNext/>
      <w:numPr>
        <w:ilvl w:val="1"/>
        <w:numId w:val="4"/>
      </w:numPr>
      <w:spacing w:before="120" w:after="120"/>
      <w:jc w:val="both"/>
      <w:outlineLvl w:val="1"/>
    </w:pPr>
    <w:rPr>
      <w:rFonts w:eastAsiaTheme="majorEastAsia" w:cstheme="majorBidi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880142"/>
    <w:pPr>
      <w:keepNext/>
      <w:numPr>
        <w:ilvl w:val="2"/>
        <w:numId w:val="4"/>
      </w:numPr>
      <w:outlineLvl w:val="2"/>
    </w:pPr>
    <w:rPr>
      <w:rFonts w:cs="Times New Roman"/>
      <w:sz w:val="2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Dtum">
    <w:name w:val="Date"/>
    <w:basedOn w:val="Normlny"/>
    <w:next w:val="Normlny"/>
    <w:link w:val="DtumChar"/>
    <w:uiPriority w:val="99"/>
    <w:unhideWhenUsed/>
    <w:rsid w:val="00B4597D"/>
    <w:rPr>
      <w:lang w:eastAsia="en-US"/>
    </w:rPr>
  </w:style>
  <w:style w:type="character" w:customStyle="1" w:styleId="DtumChar">
    <w:name w:val="Dátum Char"/>
    <w:basedOn w:val="Predvolenpsmoodseku"/>
    <w:link w:val="Dtum"/>
    <w:uiPriority w:val="99"/>
    <w:rsid w:val="00B4597D"/>
    <w:rPr>
      <w:rFonts w:ascii="Tahoma" w:hAnsi="Tahoma" w:cs="Tahoma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80142"/>
    <w:rPr>
      <w:rFonts w:eastAsiaTheme="majorEastAsia" w:cstheme="majorBidi"/>
      <w:b/>
      <w:caps/>
      <w:sz w:val="22"/>
      <w:lang w:eastAsia="cs-CZ"/>
    </w:rPr>
  </w:style>
  <w:style w:type="character" w:customStyle="1" w:styleId="Nadpis2Char">
    <w:name w:val="Nadpis 2 Char"/>
    <w:basedOn w:val="Predvolenpsmoodseku"/>
    <w:link w:val="Nadpis2"/>
    <w:rsid w:val="000D6864"/>
    <w:rPr>
      <w:rFonts w:eastAsiaTheme="majorEastAsia" w:cstheme="majorBidi"/>
      <w:sz w:val="24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0D6864"/>
    <w:pPr>
      <w:spacing w:before="120" w:after="300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D6864"/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styleId="Siln">
    <w:name w:val="Strong"/>
    <w:basedOn w:val="Predvolenpsmoodseku"/>
    <w:qFormat/>
    <w:rsid w:val="007D3AA3"/>
    <w:rPr>
      <w:b/>
      <w:bCs/>
    </w:rPr>
  </w:style>
  <w:style w:type="character" w:styleId="Nzovknihy">
    <w:name w:val="Book Title"/>
    <w:basedOn w:val="Predvolenpsmoodseku"/>
    <w:uiPriority w:val="33"/>
    <w:qFormat/>
    <w:rsid w:val="007D3AA3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D3AA3"/>
    <w:pPr>
      <w:keepLines/>
      <w:numPr>
        <w:numId w:val="0"/>
      </w:numPr>
      <w:spacing w:before="480"/>
      <w:outlineLvl w:val="9"/>
    </w:pPr>
    <w:rPr>
      <w:rFonts w:asciiTheme="majorHAnsi" w:hAnsiTheme="majorHAnsi"/>
      <w:bCs/>
      <w:caps w:val="0"/>
      <w:color w:val="365F91" w:themeColor="accent1" w:themeShade="BF"/>
      <w:sz w:val="28"/>
      <w:szCs w:val="28"/>
      <w:lang w:eastAsia="sk-SK"/>
    </w:rPr>
  </w:style>
  <w:style w:type="paragraph" w:styleId="Popis">
    <w:name w:val="caption"/>
    <w:basedOn w:val="Normlny"/>
    <w:next w:val="Normlny"/>
    <w:unhideWhenUsed/>
    <w:qFormat/>
    <w:rsid w:val="007D3AA3"/>
    <w:pPr>
      <w:spacing w:after="200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880142"/>
    <w:pPr>
      <w:ind w:left="708"/>
    </w:pPr>
  </w:style>
  <w:style w:type="paragraph" w:styleId="Podtitul">
    <w:name w:val="Subtitle"/>
    <w:basedOn w:val="Normlny"/>
    <w:next w:val="Normlny"/>
    <w:link w:val="PodtitulChar"/>
    <w:qFormat/>
    <w:rsid w:val="007D3A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7D3A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30C1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30C1F"/>
    <w:rPr>
      <w:rFonts w:cs="Tahoma"/>
      <w:sz w:val="24"/>
      <w:szCs w:val="24"/>
      <w:lang w:eastAsia="ar-SA"/>
    </w:rPr>
  </w:style>
  <w:style w:type="paragraph" w:styleId="Bezriadkovania">
    <w:name w:val="No Spacing"/>
    <w:link w:val="BezriadkovaniaChar"/>
    <w:uiPriority w:val="1"/>
    <w:qFormat/>
    <w:rsid w:val="007D3AA3"/>
    <w:rPr>
      <w:rFonts w:cs="Tahoma"/>
      <w:sz w:val="24"/>
      <w:szCs w:val="24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82FFB"/>
    <w:rPr>
      <w:rFonts w:cs="Tahoma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880142"/>
    <w:rPr>
      <w:sz w:val="22"/>
      <w:lang w:eastAsia="cs-CZ"/>
    </w:rPr>
  </w:style>
  <w:style w:type="character" w:styleId="Zvraznenie">
    <w:name w:val="Emphasis"/>
    <w:basedOn w:val="Predvolenpsmoodseku"/>
    <w:qFormat/>
    <w:rsid w:val="00880142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DD68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68E2"/>
    <w:rPr>
      <w:rFonts w:cs="Tahom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D68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68E2"/>
    <w:rPr>
      <w:rFonts w:cs="Tahoma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68E2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68E2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04B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04BF6"/>
    <w:rPr>
      <w:rFonts w:cs="Tahoma"/>
    </w:rPr>
  </w:style>
  <w:style w:type="character" w:styleId="Odkaznapoznmkupodiarou">
    <w:name w:val="footnote reference"/>
    <w:basedOn w:val="Predvolenpsmoodseku"/>
    <w:uiPriority w:val="99"/>
    <w:semiHidden/>
    <w:unhideWhenUsed/>
    <w:rsid w:val="00404BF6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275505"/>
    <w:rPr>
      <w:color w:val="80808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96BDE"/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96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style val="32"/>
  <c:chart>
    <c:title>
      <c:tx>
        <c:rich>
          <a:bodyPr/>
          <a:lstStyle/>
          <a:p>
            <a:pPr>
              <a:defRPr/>
            </a:pPr>
            <a:r>
              <a:rPr lang="sk-SK" sz="1200"/>
              <a:t>Vývoj č</a:t>
            </a:r>
            <a:r>
              <a:rPr lang="en-US" sz="1200"/>
              <a:t>ist</a:t>
            </a:r>
            <a:r>
              <a:rPr lang="sk-SK" sz="1200"/>
              <a:t>ého </a:t>
            </a:r>
            <a:r>
              <a:rPr lang="en-US" sz="1200"/>
              <a:t>dlh</a:t>
            </a:r>
            <a:r>
              <a:rPr lang="sk-SK" sz="1200"/>
              <a:t>u </a:t>
            </a:r>
            <a:endParaRPr lang="en-US" sz="1200"/>
          </a:p>
        </c:rich>
      </c:tx>
      <c:layout>
        <c:manualLayout>
          <c:xMode val="edge"/>
          <c:yMode val="edge"/>
          <c:x val="3.3518518518518496E-2"/>
          <c:y val="2.380952380952389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Hárok1!$B$1</c:f>
              <c:strCache>
                <c:ptCount val="1"/>
                <c:pt idx="0">
                  <c:v>Čistý dlh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4235452275782601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5247064848601241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1695752607052734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0.16957526070527315"/>
                </c:manualLayout>
              </c:layout>
              <c:showVal val="1"/>
            </c:dLbl>
            <c:showVal val="1"/>
          </c:dLbls>
          <c:cat>
            <c:strRef>
              <c:f>Hárok1!$A$2:$A$5</c:f>
              <c:strCache>
                <c:ptCount val="4"/>
                <c:pt idx="0">
                  <c:v>k 30.06.2010/skutočné príjmy 2009</c:v>
                </c:pt>
                <c:pt idx="1">
                  <c:v>k 30.09.2010/skutočné príjmy 2009</c:v>
                </c:pt>
                <c:pt idx="2">
                  <c:v>k 31.12.2010/ prognóza skutočné príjmy 2009 </c:v>
                </c:pt>
                <c:pt idx="3">
                  <c:v>k 31.12.2010 / prognóza odhad rozp.bežné príjmy 2010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31.86</c:v>
                </c:pt>
                <c:pt idx="1">
                  <c:v>32.130000000000003</c:v>
                </c:pt>
                <c:pt idx="2">
                  <c:v>33.56</c:v>
                </c:pt>
                <c:pt idx="3">
                  <c:v>37.46</c:v>
                </c:pt>
              </c:numCache>
            </c:numRef>
          </c:val>
        </c:ser>
        <c:axId val="69757568"/>
        <c:axId val="69767552"/>
      </c:barChart>
      <c:catAx>
        <c:axId val="69757568"/>
        <c:scaling>
          <c:orientation val="minMax"/>
        </c:scaling>
        <c:axPos val="b"/>
        <c:majorTickMark val="none"/>
        <c:tickLblPos val="nextTo"/>
        <c:crossAx val="69767552"/>
        <c:crosses val="autoZero"/>
        <c:auto val="1"/>
        <c:lblAlgn val="ctr"/>
        <c:lblOffset val="100"/>
      </c:catAx>
      <c:valAx>
        <c:axId val="697675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975756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style val="30"/>
  <c:chart>
    <c:title>
      <c:tx>
        <c:rich>
          <a:bodyPr/>
          <a:lstStyle/>
          <a:p>
            <a:pPr>
              <a:defRPr/>
            </a:pPr>
            <a:r>
              <a:rPr lang="sk-SK" sz="1200"/>
              <a:t>Vývoj hrubého </a:t>
            </a:r>
            <a:r>
              <a:rPr lang="en-US" sz="1200"/>
              <a:t>dlh</a:t>
            </a:r>
            <a:r>
              <a:rPr lang="sk-SK" sz="1200"/>
              <a:t>u </a:t>
            </a:r>
            <a:endParaRPr lang="en-US" sz="1200"/>
          </a:p>
        </c:rich>
      </c:tx>
      <c:layout>
        <c:manualLayout>
          <c:xMode val="edge"/>
          <c:yMode val="edge"/>
          <c:x val="3.3518518518518496E-2"/>
          <c:y val="2.380952380952381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Hárok1!$B$1</c:f>
              <c:strCache>
                <c:ptCount val="1"/>
                <c:pt idx="0">
                  <c:v>Čistý dlh</c:v>
                </c:pt>
              </c:strCache>
            </c:strRef>
          </c:tx>
          <c:dLbls>
            <c:showVal val="1"/>
          </c:dLbls>
          <c:cat>
            <c:strRef>
              <c:f>Hárok1!$A$2:$A$5</c:f>
              <c:strCache>
                <c:ptCount val="4"/>
                <c:pt idx="0">
                  <c:v>k 30.06.2010 / skutočné príjmy 2009</c:v>
                </c:pt>
                <c:pt idx="1">
                  <c:v>k 30.09.2010 /skutočné príjmy 2009</c:v>
                </c:pt>
                <c:pt idx="2">
                  <c:v>k 31.12.2010 / prognóza skutočné bežné príjmy  2009</c:v>
                </c:pt>
                <c:pt idx="3">
                  <c:v>k 31.12.2010 / prognóza odhad rozp.bežné príjmy 2010</c:v>
                </c:pt>
              </c:strCache>
            </c:strRef>
          </c:cat>
          <c:val>
            <c:numRef>
              <c:f>Hárok1!$B$2:$B$5</c:f>
            </c:numRef>
          </c:val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Hrubý dlh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3448186306146104"/>
                </c:manualLayout>
              </c:layout>
              <c:showVal val="1"/>
            </c:dLbl>
            <c:dLbl>
              <c:idx val="1"/>
              <c:layout>
                <c:manualLayout>
                  <c:x val="2.0892748801381402E-3"/>
                  <c:y val="0.16987182702500217"/>
                </c:manualLayout>
              </c:layout>
              <c:showVal val="1"/>
            </c:dLbl>
            <c:dLbl>
              <c:idx val="2"/>
              <c:layout>
                <c:manualLayout>
                  <c:x val="2.0892748801381402E-3"/>
                  <c:y val="0.1627932769100269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0.17582417582417584"/>
                </c:manualLayout>
              </c:layout>
              <c:showVal val="1"/>
            </c:dLbl>
            <c:showVal val="1"/>
          </c:dLbls>
          <c:cat>
            <c:strRef>
              <c:f>Hárok1!$A$2:$A$5</c:f>
              <c:strCache>
                <c:ptCount val="4"/>
                <c:pt idx="0">
                  <c:v>k 30.06.2010 / skutočné príjmy 2009</c:v>
                </c:pt>
                <c:pt idx="1">
                  <c:v>k 30.09.2010 /skutočné príjmy 2009</c:v>
                </c:pt>
                <c:pt idx="2">
                  <c:v>k 31.12.2010 / prognóza skutočné bežné príjmy  2009</c:v>
                </c:pt>
                <c:pt idx="3">
                  <c:v>k 31.12.2010 / prognóza odhad rozp.bežné príjmy 2010</c:v>
                </c:pt>
              </c:strCache>
            </c:strRef>
          </c:cat>
          <c:val>
            <c:numRef>
              <c:f>Hárok1!$C$2:$C$5</c:f>
              <c:numCache>
                <c:formatCode>General</c:formatCode>
                <c:ptCount val="4"/>
                <c:pt idx="0">
                  <c:v>34.43</c:v>
                </c:pt>
                <c:pt idx="1">
                  <c:v>40.78</c:v>
                </c:pt>
                <c:pt idx="2">
                  <c:v>50.48</c:v>
                </c:pt>
                <c:pt idx="3">
                  <c:v>56.34</c:v>
                </c:pt>
              </c:numCache>
            </c:numRef>
          </c:val>
        </c:ser>
        <c:axId val="70001792"/>
        <c:axId val="70003328"/>
      </c:barChart>
      <c:catAx>
        <c:axId val="70001792"/>
        <c:scaling>
          <c:orientation val="minMax"/>
        </c:scaling>
        <c:axPos val="b"/>
        <c:majorTickMark val="none"/>
        <c:tickLblPos val="nextTo"/>
        <c:crossAx val="70003328"/>
        <c:crosses val="autoZero"/>
        <c:auto val="1"/>
        <c:lblAlgn val="ctr"/>
        <c:lblOffset val="100"/>
      </c:catAx>
      <c:valAx>
        <c:axId val="700033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000179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428DD6-B38B-4BBE-97D5-BEE748F0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4124</Characters>
  <Application>Microsoft Office Word</Application>
  <DocSecurity>8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2010-10-27T10:15:00Z</dcterms:created>
  <dcterms:modified xsi:type="dcterms:W3CDTF">2010-10-29T10:32:00Z</dcterms:modified>
</cp:coreProperties>
</file>